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150495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September 2025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001-41848</w:t>
      </w:r>
    </w:p>
    <w:p>
      <w:pPr>
        <w:spacing w:after="0" w:line="19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Trident Digital Tech Holdings Ltd</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Suntec Tower 3,</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 Temasek Boulevard Road, #24-03</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038988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8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0" w:right="1440" w:bottom="1440" w:gutter="0" w:footer="0" w:header="0"/>
        </w:sectPr>
      </w:pPr>
    </w:p>
    <w:bookmarkStart w:id="1" w:name="page2"/>
    <w:bookmarkEnd w:id="1"/>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Soon Huat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Soon Huat Lim</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23, 2025</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873" w:right="9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90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900" w:type="dxa"/>
            <w:vAlign w:val="bottom"/>
            <w:gridSpan w:val="3"/>
          </w:tcPr>
          <w:p>
            <w:pPr>
              <w:ind w:left="14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14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Exhibit 99.1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940" w:type="dxa"/>
            <w:vAlign w:val="bottom"/>
            <w:tcBorders>
              <w:top w:val="single" w:sz="8" w:color="auto"/>
              <w:bottom w:val="single" w:sz="8" w:color="0000EE"/>
            </w:tcBorders>
            <w:gridSpan w:val="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Financial Statements as of June 30, 2025 (unaudited) and December 31, 2024 and for the six months ended June</w:t>
            </w: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100" w:type="dxa"/>
            <w:vAlign w:val="bottom"/>
            <w:tcBorders>
              <w:bottom w:val="single" w:sz="8" w:color="0000EE"/>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30, 2025 (unaudited) and 2024 (unaudited)</w:t>
            </w:r>
          </w:p>
        </w:tc>
        <w:tc>
          <w:tcPr>
            <w:tcW w:w="6900" w:type="dxa"/>
            <w:vAlign w:val="bottom"/>
            <w:tcBorders>
              <w:bottom w:val="single" w:sz="8" w:color="CCEEFF"/>
            </w:tcBorders>
            <w:gridSpan w:val="3"/>
            <w:shd w:val="clear" w:color="auto" w:fill="CCEEFF"/>
          </w:tcPr>
          <w:p>
            <w:pPr>
              <w:spacing w:after="0"/>
              <w:rPr>
                <w:sz w:val="18"/>
                <w:szCs w:val="18"/>
                <w:color w:val="auto"/>
              </w:rPr>
            </w:pPr>
          </w:p>
        </w:tc>
      </w:tr>
      <w:tr>
        <w:trPr>
          <w:trHeight w:val="175"/>
        </w:trPr>
        <w:tc>
          <w:tcPr>
            <w:tcW w:w="12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Exhibit 99.2</w:t>
            </w:r>
          </w:p>
        </w:tc>
        <w:tc>
          <w:tcPr>
            <w:tcW w:w="1000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3360" w:type="dxa"/>
            <w:vAlign w:val="bottom"/>
            <w:tcBorders>
              <w:top w:val="single" w:sz="8" w:color="0000EE"/>
            </w:tcBorders>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Exhibit 99.3</w:t>
            </w:r>
          </w:p>
        </w:tc>
        <w:tc>
          <w:tcPr>
            <w:tcW w:w="1000" w:type="dxa"/>
            <w:vAlign w:val="bottom"/>
            <w:tcBorders>
              <w:bottom w:val="single" w:sz="8" w:color="0000EE"/>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7"/>
              </w:rPr>
              <w:t>Press Release</w:t>
            </w:r>
          </w:p>
        </w:tc>
        <w:tc>
          <w:tcPr>
            <w:tcW w:w="9000" w:type="dxa"/>
            <w:vAlign w:val="bottom"/>
            <w:tcBorders>
              <w:bottom w:val="single" w:sz="8" w:color="CCEEFF"/>
            </w:tcBorders>
            <w:gridSpan w:val="4"/>
            <w:shd w:val="clear" w:color="auto" w:fill="CCEEFF"/>
          </w:tcPr>
          <w:p>
            <w:pPr>
              <w:spacing w:after="0"/>
              <w:rPr>
                <w:sz w:val="17"/>
                <w:szCs w:val="17"/>
                <w:color w:val="auto"/>
              </w:rPr>
            </w:pPr>
          </w:p>
        </w:tc>
      </w:tr>
      <w:tr>
        <w:trPr>
          <w:trHeight w:val="216"/>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0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0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0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0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0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0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1260" w:hanging="1252"/>
        <w:spacing w:after="0"/>
        <w:tabs>
          <w:tab w:leader="none" w:pos="1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8"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w w:val="98"/>
              </w:rPr>
              <w:t>Exhibit 99.1</w:t>
            </w:r>
          </w:p>
        </w:tc>
        <w:tc>
          <w:tcPr>
            <w:tcW w:w="0" w:type="dxa"/>
            <w:vAlign w:val="bottom"/>
          </w:tcPr>
          <w:p>
            <w:pPr>
              <w:spacing w:after="0"/>
              <w:rPr>
                <w:sz w:val="1"/>
                <w:szCs w:val="1"/>
                <w:color w:val="auto"/>
              </w:rPr>
            </w:pPr>
          </w:p>
        </w:tc>
      </w:tr>
      <w:tr>
        <w:trPr>
          <w:trHeight w:val="432"/>
        </w:trPr>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340" w:type="dxa"/>
            <w:vAlign w:val="bottom"/>
            <w:gridSpan w:val="7"/>
          </w:tcPr>
          <w:p>
            <w:pPr>
              <w:ind w:left="100"/>
              <w:spacing w:after="0"/>
              <w:rPr>
                <w:sz w:val="20"/>
                <w:szCs w:val="20"/>
                <w:color w:val="auto"/>
              </w:rPr>
            </w:pPr>
            <w:r>
              <w:rPr>
                <w:rFonts w:ascii="Times New Roman" w:cs="Times New Roman" w:eastAsia="Times New Roman" w:hAnsi="Times New Roman"/>
                <w:sz w:val="18"/>
                <w:szCs w:val="18"/>
                <w:b w:val="1"/>
                <w:bCs w:val="1"/>
                <w:color w:val="auto"/>
              </w:rPr>
              <w:t>INDEX TO CONDENSED CONSOLIDATED FINANCIAL STATEMENTS</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PAGE(S)</w:t>
            </w:r>
          </w:p>
        </w:tc>
        <w:tc>
          <w:tcPr>
            <w:tcW w:w="0" w:type="dxa"/>
            <w:vAlign w:val="bottom"/>
          </w:tcPr>
          <w:p>
            <w:pPr>
              <w:spacing w:after="0"/>
              <w:rPr>
                <w:sz w:val="1"/>
                <w:szCs w:val="1"/>
                <w:color w:val="auto"/>
              </w:rPr>
            </w:pPr>
          </w:p>
        </w:tc>
      </w:tr>
      <w:tr>
        <w:trPr>
          <w:trHeight w:val="180"/>
        </w:trPr>
        <w:tc>
          <w:tcPr>
            <w:tcW w:w="10120" w:type="dxa"/>
            <w:vAlign w:val="bottom"/>
            <w:tcBorders>
              <w:top w:val="single" w:sz="8" w:color="CCEEFF"/>
            </w:tcBorders>
            <w:gridSpan w:val="10"/>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UNAUDITED CONDENSED CONSOLIDATED FINANCIAL STATEMENTS FOR THE SIX MONTHS ENDED JUNE 30, 2025</w:t>
            </w:r>
          </w:p>
        </w:tc>
        <w:tc>
          <w:tcPr>
            <w:tcW w:w="112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60" w:type="dxa"/>
            <w:vAlign w:val="bottom"/>
            <w:shd w:val="clear" w:color="auto" w:fill="CCEEFF"/>
          </w:tcPr>
          <w:p>
            <w:pPr>
              <w:spacing w:after="0"/>
              <w:rPr>
                <w:sz w:val="20"/>
                <w:szCs w:val="20"/>
                <w:color w:val="auto"/>
              </w:rPr>
            </w:pPr>
          </w:p>
        </w:tc>
        <w:tc>
          <w:tcPr>
            <w:tcW w:w="996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AND 2024</w:t>
            </w:r>
          </w:p>
        </w:tc>
        <w:tc>
          <w:tcPr>
            <w:tcW w:w="11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012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BALANCE SHEETS AS OF JUNE 30, 2025 AND DECEMBER 31, 2024</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140" w:type="dxa"/>
            <w:vAlign w:val="bottom"/>
            <w:tcBorders>
              <w:top w:val="single" w:sz="8" w:color="0000EE"/>
            </w:tcBorders>
          </w:tcPr>
          <w:p>
            <w:pPr>
              <w:spacing w:after="0" w:line="20" w:lineRule="exact"/>
              <w:rPr>
                <w:sz w:val="1"/>
                <w:szCs w:val="1"/>
                <w:color w:val="auto"/>
              </w:rPr>
            </w:pPr>
          </w:p>
        </w:tc>
        <w:tc>
          <w:tcPr>
            <w:tcW w:w="234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2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OPERATIONS AND COMPREHENSIVE LOSS FOR THE SIX</w:t>
            </w:r>
          </w:p>
        </w:tc>
        <w:tc>
          <w:tcPr>
            <w:tcW w:w="300" w:type="dxa"/>
            <w:vAlign w:val="bottom"/>
            <w:tcBorders>
              <w:bottom w:val="single" w:sz="8" w:color="CCEEFF"/>
            </w:tcBorders>
            <w:gridSpan w:val="2"/>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9960" w:type="dxa"/>
            <w:vAlign w:val="bottom"/>
            <w:gridSpan w:val="9"/>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MONTHS ENDED JUNE 30, 2025 AND 2024</w:t>
            </w:r>
          </w:p>
        </w:tc>
        <w:tc>
          <w:tcPr>
            <w:tcW w:w="11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12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CHANGES IN EQUITY/(DEFICIT) FOR THE SIX MONTHS</w:t>
            </w: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60" w:type="dxa"/>
            <w:vAlign w:val="bottom"/>
            <w:tcBorders>
              <w:top w:val="single" w:sz="8" w:color="0000EE"/>
            </w:tcBorders>
          </w:tcPr>
          <w:p>
            <w:pPr>
              <w:spacing w:after="0"/>
              <w:rPr>
                <w:sz w:val="17"/>
                <w:szCs w:val="17"/>
                <w:color w:val="auto"/>
              </w:rPr>
            </w:pPr>
          </w:p>
        </w:tc>
        <w:tc>
          <w:tcPr>
            <w:tcW w:w="9540" w:type="dxa"/>
            <w:vAlign w:val="bottom"/>
            <w:tcBorders>
              <w:top w:val="single" w:sz="8" w:color="0000EE"/>
            </w:tcBorders>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EE"/>
              </w:rPr>
              <w:t>ENDED JUNE 30, 2025 AND 2024</w:t>
            </w:r>
          </w:p>
        </w:tc>
        <w:tc>
          <w:tcPr>
            <w:tcW w:w="420" w:type="dxa"/>
            <w:vAlign w:val="bottom"/>
            <w:gridSpan w:val="3"/>
          </w:tcPr>
          <w:p>
            <w:pPr>
              <w:spacing w:after="0"/>
              <w:rPr>
                <w:sz w:val="17"/>
                <w:szCs w:val="17"/>
                <w:color w:val="auto"/>
              </w:rPr>
            </w:pPr>
          </w:p>
        </w:tc>
        <w:tc>
          <w:tcPr>
            <w:tcW w:w="1140" w:type="dxa"/>
            <w:vAlign w:val="bottom"/>
            <w:gridSpan w:val="2"/>
          </w:tcPr>
          <w:p>
            <w:pPr>
              <w:jc w:val="center"/>
              <w:ind w:right="20"/>
              <w:spacing w:after="0" w:line="196" w:lineRule="exact"/>
              <w:rPr>
                <w:sz w:val="20"/>
                <w:szCs w:val="20"/>
                <w:color w:val="auto"/>
              </w:rPr>
            </w:pPr>
            <w:r>
              <w:rPr>
                <w:rFonts w:ascii="Times New Roman" w:cs="Times New Roman" w:eastAsia="Times New Roman" w:hAnsi="Times New Roman"/>
                <w:sz w:val="18"/>
                <w:szCs w:val="18"/>
                <w:color w:val="auto"/>
                <w:w w:val="95"/>
              </w:rPr>
              <w:t>F-3</w:t>
            </w:r>
          </w:p>
        </w:tc>
        <w:tc>
          <w:tcPr>
            <w:tcW w:w="0" w:type="dxa"/>
            <w:vAlign w:val="bottom"/>
          </w:tcPr>
          <w:p>
            <w:pPr>
              <w:spacing w:after="0"/>
              <w:rPr>
                <w:sz w:val="1"/>
                <w:szCs w:val="1"/>
                <w:color w:val="auto"/>
              </w:rPr>
            </w:pPr>
          </w:p>
        </w:tc>
      </w:tr>
      <w:tr>
        <w:trPr>
          <w:trHeight w:val="21"/>
        </w:trPr>
        <w:tc>
          <w:tcPr>
            <w:tcW w:w="160" w:type="dxa"/>
            <w:vAlign w:val="bottom"/>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00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CASH FLOWS FOR THE SIX MONTHS ENDED JUNE 30, 2025</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9960" w:type="dxa"/>
            <w:vAlign w:val="bottom"/>
            <w:gridSpan w:val="9"/>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AND 2024</w:t>
            </w:r>
          </w:p>
        </w:tc>
        <w:tc>
          <w:tcPr>
            <w:tcW w:w="11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12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59"/>
        </w:trPr>
        <w:tc>
          <w:tcPr>
            <w:tcW w:w="160" w:type="dxa"/>
            <w:vAlign w:val="bottom"/>
            <w:tcBorders>
              <w:top w:val="single" w:sz="8" w:color="0000EE"/>
              <w:bottom w:val="single" w:sz="8" w:color="auto"/>
            </w:tcBorders>
          </w:tcPr>
          <w:p>
            <w:pPr>
              <w:spacing w:after="0"/>
              <w:rPr>
                <w:sz w:val="24"/>
                <w:szCs w:val="24"/>
                <w:color w:val="auto"/>
              </w:rPr>
            </w:pPr>
          </w:p>
        </w:tc>
        <w:tc>
          <w:tcPr>
            <w:tcW w:w="800" w:type="dxa"/>
            <w:vAlign w:val="bottom"/>
            <w:tcBorders>
              <w:top w:val="single" w:sz="8" w:color="0000EE"/>
              <w:bottom w:val="single" w:sz="8" w:color="auto"/>
            </w:tcBorders>
          </w:tcPr>
          <w:p>
            <w:pPr>
              <w:spacing w:after="0"/>
              <w:rPr>
                <w:sz w:val="24"/>
                <w:szCs w:val="24"/>
                <w:color w:val="auto"/>
              </w:rPr>
            </w:pPr>
          </w:p>
        </w:tc>
        <w:tc>
          <w:tcPr>
            <w:tcW w:w="1820" w:type="dxa"/>
            <w:vAlign w:val="bottom"/>
            <w:tcBorders>
              <w:top w:val="single" w:sz="8" w:color="0000EE"/>
              <w:bottom w:val="single" w:sz="8" w:color="auto"/>
            </w:tcBorders>
          </w:tcPr>
          <w:p>
            <w:pPr>
              <w:spacing w:after="0"/>
              <w:rPr>
                <w:sz w:val="24"/>
                <w:szCs w:val="24"/>
                <w:color w:val="auto"/>
              </w:rPr>
            </w:pPr>
          </w:p>
        </w:tc>
        <w:tc>
          <w:tcPr>
            <w:tcW w:w="800" w:type="dxa"/>
            <w:vAlign w:val="bottom"/>
            <w:tcBorders>
              <w:top w:val="single" w:sz="8" w:color="0000EE"/>
              <w:bottom w:val="single" w:sz="8" w:color="auto"/>
            </w:tcBorders>
          </w:tcPr>
          <w:p>
            <w:pPr>
              <w:spacing w:after="0"/>
              <w:rPr>
                <w:sz w:val="24"/>
                <w:szCs w:val="24"/>
                <w:color w:val="auto"/>
              </w:rPr>
            </w:pPr>
          </w:p>
        </w:tc>
        <w:tc>
          <w:tcPr>
            <w:tcW w:w="3140" w:type="dxa"/>
            <w:vAlign w:val="bottom"/>
            <w:tcBorders>
              <w:top w:val="single" w:sz="8" w:color="0000EE"/>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3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(In U.S. dollars, except for share and per share data, or otherwise noted)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0" w:type="dxa"/>
            <w:vAlign w:val="bottom"/>
          </w:tcPr>
          <w:p>
            <w:pPr>
              <w:spacing w:after="0"/>
              <w:rPr>
                <w:sz w:val="18"/>
                <w:szCs w:val="18"/>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63"/>
        </w:trPr>
        <w:tc>
          <w:tcPr>
            <w:tcW w:w="86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4"/>
        </w:trPr>
        <w:tc>
          <w:tcPr>
            <w:tcW w:w="86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184,618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194,113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102,078</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80,587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cost assets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159,247</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138,740</w:t>
            </w: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1,208,106</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1,246,256</w:t>
            </w:r>
          </w:p>
        </w:tc>
        <w:tc>
          <w:tcPr>
            <w:tcW w:w="80" w:type="dxa"/>
            <w:vAlign w:val="bottom"/>
          </w:tcPr>
          <w:p>
            <w:pPr>
              <w:spacing w:after="0"/>
              <w:rPr>
                <w:sz w:val="20"/>
                <w:szCs w:val="20"/>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1,654,049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1,659,696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126,671</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139,717</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871,955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991,796</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243,040</w:t>
            </w:r>
          </w:p>
        </w:tc>
        <w:tc>
          <w:tcPr>
            <w:tcW w:w="80" w:type="dxa"/>
            <w:vAlign w:val="bottom"/>
          </w:tcPr>
          <w:p>
            <w:pPr>
              <w:spacing w:after="0"/>
              <w:rPr>
                <w:sz w:val="20"/>
                <w:szCs w:val="20"/>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998,626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1,374,553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2,652,675</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3,034,249</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borrowings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65,952</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59,887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297,765</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322,027</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543,849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409,654</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44,909</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293,216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191,098</w:t>
            </w: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397,266</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363,297</w:t>
            </w:r>
          </w:p>
        </w:tc>
        <w:tc>
          <w:tcPr>
            <w:tcW w:w="80" w:type="dxa"/>
            <w:vAlign w:val="bottom"/>
          </w:tcPr>
          <w:p>
            <w:pPr>
              <w:spacing w:after="0"/>
              <w:rPr>
                <w:sz w:val="20"/>
                <w:szCs w:val="20"/>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1,642,957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1,345,963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related parties, non-current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5,822,294</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1,345,225</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69,326</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95,624</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474,690</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628,499</w:t>
            </w:r>
          </w:p>
        </w:tc>
        <w:tc>
          <w:tcPr>
            <w:tcW w:w="80" w:type="dxa"/>
            <w:vAlign w:val="bottom"/>
          </w:tcPr>
          <w:p>
            <w:pPr>
              <w:spacing w:after="0"/>
              <w:rPr>
                <w:sz w:val="20"/>
                <w:szCs w:val="20"/>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6,366,310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2,069,348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8,009,267</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3,415,311</w:t>
            </w:r>
          </w:p>
        </w:tc>
        <w:tc>
          <w:tcPr>
            <w:tcW w:w="100" w:type="dxa"/>
            <w:vAlign w:val="bottom"/>
            <w:tcBorders>
              <w:bottom w:val="single" w:sz="8" w:color="CCEEFF"/>
            </w:tcBorders>
            <w:gridSpan w:val="2"/>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15)</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(par value $0.00001 per share; 1,000,000,000 Class A ordinary shares authorized,</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50,000,000 and 50,000,000 Class A ordinary shares issued and outstanding as of June 30, 2025 and December 31,</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2024, respectively) *</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B Ordinary Shares (par value $0.00001 per share; 4,000,000,000 Class B ordinary shares authorized,</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603,864,286 and 466,364,286 Class B ordinary shares issued and outstanding as of June 30, 2025 and December 31,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 respectively) *</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6,039</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80" w:type="dxa"/>
            <w:vAlign w:val="bottom"/>
            <w:shd w:val="clear" w:color="auto" w:fill="CCEEFF"/>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20,858,763</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14,003,653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(25,577,935)</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(14,306,387)</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(643,959)</w:t>
            </w:r>
          </w:p>
        </w:tc>
        <w:tc>
          <w:tcPr>
            <w:tcW w:w="1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(83,492)</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(5,356,592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(381,062</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2,652,675</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3,034,249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The shares and per share information are presented on a retroactive basis to reflect the reorganization (Note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dollars, except for share and per share data, or otherwise noted)</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six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378,839</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(18,969)</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(360,390)</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17,643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expenses</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(380,898)</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(264,326)</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(10,517,607)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(1,528,022)</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(447,369)</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(172,519)</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(11,345,874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(1,964,867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(expenses)/income, net: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expenses, net</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(5,442)</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(5,015)</w:t>
            </w: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62,125</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24,406</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other income, net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56,683</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19,391</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(11,271,548)</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(1,927,027)</w:t>
            </w: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(11,271,548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(1,927,027</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(560,467)</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(53,481)</w:t>
            </w:r>
          </w:p>
        </w:tc>
      </w:tr>
      <w:tr>
        <w:trPr>
          <w:trHeight w:val="25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(11,832,015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(1,980,508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 basic and diluted*</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621,289,700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501,964,286</w:t>
            </w: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loss per ordinary share</w:t>
            </w:r>
          </w:p>
        </w:tc>
        <w:tc>
          <w:tcPr>
            <w:tcW w:w="16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(0.02)</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79"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and per share information are presented on a retroactive basis to reflect the reorganization (Note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CHANGES IN EQUITY/(DEFICIT)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dollars, except for share and per share data, or otherwise noted)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center"/>
              <w:ind w:right="10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1860" w:type="dxa"/>
            <w:vAlign w:val="bottom"/>
            <w:gridSpan w:val="6"/>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Class A Ordinary</w:t>
            </w:r>
          </w:p>
        </w:tc>
        <w:tc>
          <w:tcPr>
            <w:tcW w:w="196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Class B Ordinary</w:t>
            </w: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9"/>
        </w:trPr>
        <w:tc>
          <w:tcPr>
            <w:tcW w:w="2580" w:type="dxa"/>
            <w:vAlign w:val="bottom"/>
          </w:tcPr>
          <w:p>
            <w:pPr>
              <w:spacing w:after="0"/>
              <w:rPr>
                <w:sz w:val="22"/>
                <w:szCs w:val="22"/>
                <w:color w:val="auto"/>
              </w:rPr>
            </w:pPr>
          </w:p>
        </w:tc>
        <w:tc>
          <w:tcPr>
            <w:tcW w:w="1300" w:type="dxa"/>
            <w:vAlign w:val="bottom"/>
            <w:tcBorders>
              <w:bottom w:val="single" w:sz="8" w:color="auto"/>
            </w:tcBorders>
            <w:gridSpan w:val="4"/>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40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8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paid-in</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20" w:type="dxa"/>
            <w:vAlign w:val="bottom"/>
          </w:tcPr>
          <w:p>
            <w:pPr>
              <w:spacing w:after="0"/>
              <w:rPr>
                <w:sz w:val="22"/>
                <w:szCs w:val="22"/>
                <w:color w:val="auto"/>
              </w:rPr>
            </w:pPr>
          </w:p>
        </w:tc>
        <w:tc>
          <w:tcPr>
            <w:tcW w:w="12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37"/>
        </w:trPr>
        <w:tc>
          <w:tcPr>
            <w:tcW w:w="258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Pr>
          <w:p>
            <w:pPr>
              <w:spacing w:after="0"/>
              <w:rPr>
                <w:sz w:val="20"/>
                <w:szCs w:val="20"/>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20"/>
                <w:szCs w:val="20"/>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40" w:type="dxa"/>
            <w:vAlign w:val="bottom"/>
          </w:tcPr>
          <w:p>
            <w:pPr>
              <w:spacing w:after="0"/>
              <w:rPr>
                <w:sz w:val="20"/>
                <w:szCs w:val="20"/>
                <w:color w:val="auto"/>
              </w:rPr>
            </w:pPr>
          </w:p>
        </w:tc>
        <w:tc>
          <w:tcPr>
            <w:tcW w:w="108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320" w:type="dxa"/>
            <w:vAlign w:val="bottom"/>
            <w:gridSpan w:val="3"/>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income/(loss)</w:t>
            </w:r>
          </w:p>
        </w:tc>
        <w:tc>
          <w:tcPr>
            <w:tcW w:w="20" w:type="dxa"/>
            <w:vAlign w:val="bottom"/>
          </w:tcPr>
          <w:p>
            <w:pPr>
              <w:spacing w:after="0"/>
              <w:rPr>
                <w:sz w:val="20"/>
                <w:szCs w:val="20"/>
                <w:color w:val="auto"/>
              </w:rPr>
            </w:pPr>
          </w:p>
        </w:tc>
        <w:tc>
          <w:tcPr>
            <w:tcW w:w="12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equity/(deficit)</w:t>
            </w:r>
          </w:p>
        </w:tc>
      </w:tr>
      <w:tr>
        <w:trPr>
          <w:trHeight w:val="180"/>
        </w:trPr>
        <w:tc>
          <w:tcPr>
            <w:tcW w:w="258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Balance as of December 31,</w:t>
            </w:r>
          </w:p>
        </w:tc>
        <w:tc>
          <w:tcPr>
            <w:tcW w:w="9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38"/>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50,000,000</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500</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451,964,286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4,520</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8,426,684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(6,183,545)</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184,491</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2,432,650</w:t>
            </w:r>
          </w:p>
        </w:tc>
        <w:tc>
          <w:tcPr>
            <w:tcW w:w="80" w:type="dxa"/>
            <w:vAlign w:val="bottom"/>
            <w:shd w:val="clear" w:color="auto" w:fill="CCEEFF"/>
          </w:tcPr>
          <w:p>
            <w:pPr>
              <w:spacing w:after="0"/>
              <w:rPr>
                <w:sz w:val="20"/>
                <w:szCs w:val="20"/>
                <w:color w:val="auto"/>
              </w:rPr>
            </w:pP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(1,927,027)</w:t>
            </w:r>
          </w:p>
        </w:tc>
        <w:tc>
          <w:tcPr>
            <w:tcW w:w="220" w:type="dxa"/>
            <w:vAlign w:val="bottom"/>
          </w:tcPr>
          <w:p>
            <w:pPr>
              <w:spacing w:after="0"/>
              <w:rPr>
                <w:sz w:val="18"/>
                <w:szCs w:val="18"/>
                <w:color w:val="auto"/>
              </w:rPr>
            </w:pPr>
          </w:p>
        </w:tc>
        <w:tc>
          <w:tcPr>
            <w:tcW w:w="11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(1,927,027)</w:t>
            </w:r>
          </w:p>
        </w:tc>
      </w:tr>
      <w:tr>
        <w:trPr>
          <w:trHeight w:val="198"/>
        </w:trPr>
        <w:tc>
          <w:tcPr>
            <w:tcW w:w="2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68"/>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(53,481)</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(53,481)</w:t>
            </w:r>
          </w:p>
        </w:tc>
      </w:tr>
      <w:tr>
        <w:trPr>
          <w:trHeight w:val="251"/>
        </w:trPr>
        <w:tc>
          <w:tcPr>
            <w:tcW w:w="25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50,000,000</w:t>
            </w:r>
          </w:p>
        </w:tc>
        <w:tc>
          <w:tcPr>
            <w:tcW w:w="8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500</w:t>
            </w:r>
          </w:p>
        </w:tc>
        <w:tc>
          <w:tcPr>
            <w:tcW w:w="160" w:type="dxa"/>
            <w:vAlign w:val="bottom"/>
            <w:tcBorders>
              <w:top w:val="single" w:sz="8" w:color="CCEEFF"/>
              <w:bottom w:val="single" w:sz="8" w:color="CCEEFF"/>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451,964,286</w:t>
            </w:r>
          </w:p>
        </w:tc>
        <w:tc>
          <w:tcPr>
            <w:tcW w:w="160" w:type="dxa"/>
            <w:vAlign w:val="bottom"/>
            <w:tcBorders>
              <w:top w:val="single" w:sz="8" w:color="CCEEFF"/>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4,520</w:t>
            </w:r>
          </w:p>
        </w:tc>
        <w:tc>
          <w:tcPr>
            <w:tcW w:w="16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8,426,684</w:t>
            </w:r>
          </w:p>
        </w:tc>
        <w:tc>
          <w:tcPr>
            <w:tcW w:w="160" w:type="dxa"/>
            <w:vAlign w:val="bottom"/>
            <w:tcBorders>
              <w:top w:val="single" w:sz="8" w:color="CCEEFF"/>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(8,110,572</w:t>
            </w:r>
          </w:p>
        </w:tc>
        <w:tc>
          <w:tcPr>
            <w:tcW w:w="180" w:type="dxa"/>
            <w:vAlign w:val="bottom"/>
            <w:tcBorders>
              <w:top w:val="single" w:sz="8" w:color="CCEEFF"/>
              <w:bottom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131,010</w:t>
            </w:r>
          </w:p>
        </w:tc>
        <w:tc>
          <w:tcPr>
            <w:tcW w:w="180" w:type="dxa"/>
            <w:vAlign w:val="bottom"/>
            <w:tcBorders>
              <w:top w:val="single" w:sz="8" w:color="CCEEFF"/>
              <w:bottom w:val="single" w:sz="8" w:color="CCEEFF"/>
            </w:tcBorders>
          </w:tcPr>
          <w:p>
            <w:pPr>
              <w:spacing w:after="0"/>
              <w:rPr>
                <w:sz w:val="21"/>
                <w:szCs w:val="21"/>
                <w:color w:val="auto"/>
              </w:rPr>
            </w:pPr>
          </w:p>
        </w:tc>
        <w:tc>
          <w:tcPr>
            <w:tcW w:w="20" w:type="dxa"/>
            <w:vAlign w:val="bottom"/>
            <w:tcBorders>
              <w:top w:val="single" w:sz="8" w:color="CCEEFF"/>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452,142</w:t>
            </w:r>
          </w:p>
        </w:tc>
        <w:tc>
          <w:tcPr>
            <w:tcW w:w="2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bottom w:val="single" w:sz="8" w:color="CCEEFF"/>
            </w:tcBorders>
          </w:tcPr>
          <w:p>
            <w:pPr>
              <w:spacing w:after="0"/>
              <w:rPr>
                <w:sz w:val="21"/>
                <w:szCs w:val="21"/>
                <w:color w:val="auto"/>
              </w:rPr>
            </w:pPr>
          </w:p>
        </w:tc>
      </w:tr>
      <w:tr>
        <w:trPr>
          <w:trHeight w:val="216"/>
        </w:trPr>
        <w:tc>
          <w:tcPr>
            <w:tcW w:w="2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4"/>
        </w:trPr>
        <w:tc>
          <w:tcPr>
            <w:tcW w:w="25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as of December 31,</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8"/>
        </w:trPr>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50,000,000</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466,364,286</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4,664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14,003,653</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(14,306,387)</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(83,492)</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(381,062)</w:t>
            </w:r>
          </w:p>
        </w:tc>
      </w:tr>
      <w:tr>
        <w:trPr>
          <w:trHeight w:val="21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(11,271,548)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(11,271,548)</w:t>
            </w:r>
          </w:p>
        </w:tc>
      </w:tr>
      <w:tr>
        <w:trPr>
          <w:trHeight w:val="198"/>
        </w:trPr>
        <w:tc>
          <w:tcPr>
            <w:tcW w:w="2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Non-employee share-based</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expenses (Note</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137,500,000</w:t>
            </w:r>
          </w:p>
        </w:tc>
        <w:tc>
          <w:tcPr>
            <w:tcW w:w="16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6,855,110</w:t>
            </w:r>
          </w:p>
        </w:tc>
        <w:tc>
          <w:tcPr>
            <w:tcW w:w="140" w:type="dxa"/>
            <w:vAlign w:val="bottom"/>
          </w:tcPr>
          <w:p>
            <w:pPr>
              <w:spacing w:after="0"/>
              <w:rPr>
                <w:sz w:val="20"/>
                <w:szCs w:val="20"/>
                <w:color w:val="auto"/>
              </w:rPr>
            </w:pPr>
          </w:p>
        </w:tc>
        <w:tc>
          <w:tcPr>
            <w:tcW w:w="10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6,856,485</w:t>
            </w:r>
          </w:p>
        </w:tc>
        <w:tc>
          <w:tcPr>
            <w:tcW w:w="80" w:type="dxa"/>
            <w:vAlign w:val="bottom"/>
          </w:tcPr>
          <w:p>
            <w:pPr>
              <w:spacing w:after="0"/>
              <w:rPr>
                <w:sz w:val="20"/>
                <w:szCs w:val="20"/>
                <w:color w:val="auto"/>
              </w:rPr>
            </w:pPr>
          </w:p>
        </w:tc>
      </w:tr>
      <w:tr>
        <w:trPr>
          <w:trHeight w:val="198"/>
        </w:trPr>
        <w:tc>
          <w:tcPr>
            <w:tcW w:w="2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68"/>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(560,467)</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(560,467)</w:t>
            </w:r>
          </w:p>
        </w:tc>
      </w:tr>
      <w:tr>
        <w:trPr>
          <w:trHeight w:val="210"/>
        </w:trPr>
        <w:tc>
          <w:tcPr>
            <w:tcW w:w="25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50,000,000</w:t>
            </w: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500</w:t>
            </w:r>
          </w:p>
        </w:tc>
        <w:tc>
          <w:tcPr>
            <w:tcW w:w="16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603,864,286</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6,039</w:t>
            </w: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8"/>
              </w:rPr>
              <w:t>20,858,763</w:t>
            </w: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(25,577,935</w:t>
            </w:r>
          </w:p>
        </w:tc>
        <w:tc>
          <w:tcPr>
            <w:tcW w:w="180" w:type="dxa"/>
            <w:vAlign w:val="bottom"/>
            <w:tcBorders>
              <w:top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(643,959</w:t>
            </w:r>
          </w:p>
        </w:tc>
        <w:tc>
          <w:tcPr>
            <w:tcW w:w="180" w:type="dxa"/>
            <w:vAlign w:val="bottom"/>
            <w:tcBorders>
              <w:top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(5,356,592</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25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and per share information are presented on a retroactive basis to reflect the reorganization (Note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jc w:val="center"/>
        <w:ind w:left="2360" w:right="2340"/>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UNAUDITED CONDENSED CONSOLIDATED STATEMENTS OF CASH FLOWS (In U.S. dollars, except for share and per share data, or otherwise noted)</w:t>
      </w:r>
    </w:p>
    <w:p>
      <w:pPr>
        <w:spacing w:after="0" w:line="171"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7"/>
          <w:szCs w:val="17"/>
          <w:b w:val="1"/>
          <w:bCs w:val="1"/>
          <w:color w:val="auto"/>
        </w:rPr>
        <w:t>For the six months ended</w:t>
      </w:r>
    </w:p>
    <w:p>
      <w:pPr>
        <w:spacing w:after="0" w:line="43"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5715</wp:posOffset>
            </wp:positionV>
            <wp:extent cx="156019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of property and equipment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85"/>
        <w:spacing w:after="0"/>
        <w:tabs>
          <w:tab w:leader="none" w:pos="1705"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156019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32" w:lineRule="exact"/>
        <w:rPr>
          <w:sz w:val="20"/>
          <w:szCs w:val="20"/>
          <w:color w:val="auto"/>
        </w:rPr>
      </w:pPr>
    </w:p>
    <w:p>
      <w:pPr>
        <w:ind w:left="345" w:hanging="345"/>
        <w:spacing w:after="0"/>
        <w:tabs>
          <w:tab w:leader="none" w:pos="345" w:val="left"/>
        </w:tabs>
        <w:numPr>
          <w:ilvl w:val="0"/>
          <w:numId w:val="4"/>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(3,649,470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   (2,282,403</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86" w:lineRule="exact"/>
        <w:rPr>
          <w:sz w:val="20"/>
          <w:szCs w:val="20"/>
          <w:color w:val="auto"/>
        </w:rPr>
      </w:pPr>
    </w:p>
    <w:p>
      <w:pPr>
        <w:jc w:val="right"/>
        <w:ind w:right="40"/>
        <w:spacing w:after="0"/>
        <w:tabs>
          <w:tab w:leader="none" w:pos="380" w:val="left"/>
        </w:tabs>
        <w:rPr>
          <w:sz w:val="20"/>
          <w:szCs w:val="20"/>
          <w:color w:val="auto"/>
        </w:rPr>
      </w:pPr>
      <w:r>
        <w:rPr>
          <w:rFonts w:ascii="Times New Roman" w:cs="Times New Roman" w:eastAsia="Times New Roman" w:hAnsi="Times New Roman"/>
          <w:sz w:val="18"/>
          <w:szCs w:val="18"/>
          <w:color w:val="auto"/>
        </w:rPr>
        <w:t>(7,925)</w:t>
      </w:r>
      <w:r>
        <w:rPr>
          <w:sz w:val="20"/>
          <w:szCs w:val="20"/>
          <w:color w:val="auto"/>
        </w:rPr>
        <w:tab/>
      </w:r>
      <w:r>
        <w:rPr>
          <w:rFonts w:ascii="Times New Roman" w:cs="Times New Roman" w:eastAsia="Times New Roman" w:hAnsi="Times New Roman"/>
          <w:sz w:val="18"/>
          <w:szCs w:val="18"/>
          <w:color w:val="auto"/>
        </w:rPr>
        <w:t>(627)</w:t>
      </w:r>
    </w:p>
    <w:p>
      <w:pPr>
        <w:spacing w:after="0" w:line="41" w:lineRule="exact"/>
        <w:rPr>
          <w:sz w:val="20"/>
          <w:szCs w:val="20"/>
          <w:color w:val="auto"/>
        </w:rPr>
      </w:pPr>
    </w:p>
    <w:p>
      <w:pPr>
        <w:jc w:val="right"/>
        <w:ind w:right="40"/>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(7,925)</w:t>
      </w:r>
      <w:r>
        <w:rPr>
          <w:sz w:val="20"/>
          <w:szCs w:val="20"/>
          <w:color w:val="auto"/>
        </w:rPr>
        <w:tab/>
      </w:r>
      <w:r>
        <w:rPr>
          <w:rFonts w:ascii="Times New Roman" w:cs="Times New Roman" w:eastAsia="Times New Roman" w:hAnsi="Times New Roman"/>
          <w:sz w:val="18"/>
          <w:szCs w:val="18"/>
          <w:b w:val="1"/>
          <w:bCs w:val="1"/>
          <w:color w:val="auto"/>
        </w:rPr>
        <w:t>(627)</w:t>
      </w:r>
    </w:p>
    <w:p>
      <w:pPr>
        <w:spacing w:after="0" w:line="200" w:lineRule="exact"/>
        <w:rPr>
          <w:sz w:val="20"/>
          <w:szCs w:val="20"/>
          <w:color w:val="auto"/>
        </w:rPr>
      </w:pPr>
    </w:p>
    <w:p>
      <w:pPr>
        <w:sectPr>
          <w:pgSz w:w="11900" w:h="16838" w:orient="portrait"/>
          <w:cols w:equalWidth="0" w:num="2">
            <w:col w:w="7955" w:space="720"/>
            <w:col w:w="2565"/>
          </w:cols>
          <w:pgMar w:left="320" w:top="873" w:right="339" w:bottom="1440" w:gutter="0" w:footer="0" w:header="0"/>
          <w:type w:val="continuous"/>
        </w:sectPr>
      </w:pP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(990,572)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long-term bank loans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(30,518)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(53,527)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Loans from related parties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4,237,928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1,461,977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loans from related parties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(10,602)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(74,212)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Loan to related parties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(44,527)</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loan to related parties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244,770</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4,196,808</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543,909</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(548,908)</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(58,614)</w:t>
            </w:r>
          </w:p>
        </w:tc>
      </w:tr>
      <w:tr>
        <w:trPr>
          <w:trHeight w:val="243"/>
        </w:trPr>
        <w:tc>
          <w:tcPr>
            <w:tcW w:w="86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(9,495)</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(1,797,735)</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beginning of the period</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194,113</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1,808,603</w:t>
            </w:r>
          </w:p>
        </w:tc>
      </w:tr>
      <w:tr>
        <w:trPr>
          <w:trHeight w:val="25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at end of the period</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184,618</w:t>
            </w:r>
          </w:p>
        </w:tc>
        <w:tc>
          <w:tcPr>
            <w:tcW w:w="22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10,868</w:t>
            </w:r>
          </w:p>
        </w:tc>
        <w:tc>
          <w:tcPr>
            <w:tcW w:w="100" w:type="dxa"/>
            <w:vAlign w:val="bottom"/>
            <w:tcBorders>
              <w:top w:val="single" w:sz="8" w:color="CCEEFF"/>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3,696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7,057</w:t>
            </w: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Non-employee share-based compensation (note 12)</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6,856,485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8" w:name="page9"/>
    <w:bookmarkEnd w:id="8"/>
    <w:p>
      <w:pPr>
        <w:jc w:val="center"/>
        <w:ind w:left="380" w:right="20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UNAUDITED CONDENSED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w:t>
      </w:r>
    </w:p>
    <w:p>
      <w:pPr>
        <w:spacing w:after="0" w:line="2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Trident Digital Tech Holdings Ltd (the “Company”) and its subsidiaries (collectively referred to as the “Group”) are principally engaged in the provision of business consulting service and IT customization solutions in the Republic of Singapore (the “Singapore”).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was incorporated under the law of Cayman Islands as an exempted company with limited liability on June 12, 2023.</w:t>
      </w:r>
    </w:p>
    <w:p>
      <w:pPr>
        <w:spacing w:after="0" w:line="225"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Quality Zone Technologies Pte. Ltd. (“QZT”), was incorporated on December 3, 2014 in Singapore. It is engaged in providing branding &amp; marketing consulting service, IT customization development service and CRM product sale.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Trident Digital Tech Pte. Ltd. (“Trident”) was incorporated on May 10, 2022 in Singapore. It is mainly engaged in e-commerce service.</w:t>
      </w:r>
    </w:p>
    <w:p>
      <w:pPr>
        <w:spacing w:after="0" w:line="225"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Trident Digital Tech (DRC) Africa Sas (“Trident DRC”) was incorporated on May 27, 2025 in Kinshasa, DRC. It is a simplified joint-stock company providing digital-identity solutions, biometric identification, secure data-management services and electronic verification systems. As of June 30, 2025, Trident DRC has no substantial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On September 11, 2024, the Group closed the initial public offering of 1,800,000 American Depositary Shares (“ADSs”) at a price to the public of US$5.00 per ADS, representing 14,400,000 Class B ordinary shares for a total offering size of US$9.0 million. The net proceeds raised from the initial public offering were approximately US$5.6 million. Trident’s ADSs began trading on the Nasdaq Capital Market on September 10, 2024, under the symbol “TDTH.”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Reorganization</w:t>
      </w:r>
    </w:p>
    <w:p>
      <w:pPr>
        <w:spacing w:after="0" w:line="22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In anticipation of an initial public offering (“IPO”) of its equity securities, the Company undertook a reorganization (the “Reorganization”), which involved in following steps: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July 3, 2023, the Company acquired 100% of the equity interests in QZT from its original shareholder;</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July 4, 2023, QZT acquired 100% of the equity interests in Trident from its original shareholder;</w:t>
      </w:r>
    </w:p>
    <w:p>
      <w:pPr>
        <w:spacing w:after="0" w:line="22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Effective on July 4, 2023, the Company became the ultimate holding company of QZT and Trident, which were all controlled by the same shareholder before and after the Reorganization.</w:t>
      </w:r>
    </w:p>
    <w:p>
      <w:pPr>
        <w:spacing w:after="0" w:line="162" w:lineRule="exact"/>
        <w:rPr>
          <w:sz w:val="20"/>
          <w:szCs w:val="20"/>
          <w:color w:val="auto"/>
        </w:rPr>
      </w:pPr>
    </w:p>
    <w:p>
      <w:pPr>
        <w:jc w:val="both"/>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consolidation of the Company and its subsidiaries has been accounted for at historical cost and prepared on the basis as if the Reorganization had become effective as of the beginning of the first period presented in the accompanying unaudited condensed consolidated financial statements. Results of operations for the periods presented comprise those of the previously separate entities combined from the beginning of the period to the end of the period, eliminating the effects of intra-entity transactions.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9" w:name="page10"/>
    <w:bookmarkEnd w:id="9"/>
    <w:p>
      <w:pPr>
        <w:jc w:val="center"/>
        <w:ind w:left="360" w:right="20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UNAUDITED CONDENSED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Basis of presentation and principles of consolidation</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are prepared in accordance with accounting principles generally accepted in the United States of America (“U.S. GAAP”) and pursuant to the rules and regulations of the Securities and Exchange Commission (the “SEC”). The accompanying unaudited condensed consolidated financial statements include the financial statements of the Company and its subsidiaries. All inter-company balances and transactions are eliminated upon consolidation. Certain information and footnote disclosures, which are normally included in annual financial statements prepared in accordance with US GAAP, have been omitted pursuant to those rules and regulations. The unaudited interim financial information should be read in conjunction with the audited financial statements and the notes thereto, included in the registration statements for the fiscal years ended December 31, 2024 and 2023.</w:t>
      </w:r>
    </w:p>
    <w:p>
      <w:pPr>
        <w:spacing w:after="0" w:line="18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the opinion of the management, the accompanying unaudited condensed consolidated financial statements reflect all normal recurring adjustments, which are necessary for a fair statement of financial results for the interim periods presented. The Company believes that the disclosures are adequate to make the information presented not misleading. The accompanying unaudited condensed consolidated financial statements have been prepared using the same accounting policies as used in the preparation of the Company’s consolidated financial statements for the year ended December 31, 2024. The results of operations for the six months ended June 30, 2025 are not necessarily indicative of the results for the full year.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in accordance with U.S. GAAP requires management to make estimates and assumptions that affect the reported amounts of assets and liabilities, related disclosures of contingent assets and liabilities at the balance sheet date, and the reported revenue and expenses during the reported periods in the unaudited condensed consolidated financial statements and accompanying notes. Accounting estimates reflected in the Group’s unaudited condensed consolidated financial statements include, but not limited to, the allowance for receivable, the recoverability of long-lived assets and accounting for deferred income taxes and valuation allowance for deferred tax assets. Changes in facts and circumstances may result in revised estimates. Actual results could differ from those estimates, and as such, differences may be material to the unaudited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Credit losses</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On January 1, 2023, the Group adopted Accounting Standards Update (“ASU”) 2016-13 “Financial Instruments — Credit Losses” (Topic 326). Measurement of Credit Losses on Financial Instruments,” by using an aging schedule method in combination with current situation adjustment, which replaces the previous incurred loss impairment model. The expected credit loss impairment model requires the entity to recognize its estimate of expected credit losses for affected financial assets using an allowance for credit losses and requires consideration of a broader range of reasonable and supportable information to inform credit loss estimates.</w:t>
      </w:r>
    </w:p>
    <w:p>
      <w:pPr>
        <w:spacing w:after="0" w:line="183"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Group’s accounts receivable, amounts due from related parties, and deposits, other receivables which are included prepaid expenses and other current assets line item in the balance sheet are within the scope of ASC Topic 326. The Group uses an aging schedule method in combination with current situation adjustment, to determine the loss rate of receivable balances and evaluate the expected credit losses on an individual basis. When establishing the loss rate, the Group makes the assessment based on various factors, including aging of receivable balances, historical experience, credit-worthiness of debtor, current economic conditions, reasonable and supportable forecasts of future economic, and other factors that may affect the Group’s ability to collect from the debtors. The Group also applies current situation adjustment to provide specific provisions for allowance when facts and circumstances indicate that the receivable is unlikely to be collected.</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10" w:name="page11"/>
    <w:bookmarkEnd w:id="10"/>
    <w:p>
      <w:pPr>
        <w:jc w:val="center"/>
        <w:ind w:left="400" w:right="20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UNAUDITED CONDENSED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Expected credit losses are included in general and administrative expenses in the consolidated statements of operations and comprehensive loss. After all attempts to collect a receivable have failed, the receivable is written off against the allowance.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Accounts receivable, net</w:t>
      </w:r>
    </w:p>
    <w:p>
      <w:pPr>
        <w:spacing w:after="0" w:line="2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Accounts receivable, net is stated at the original amount less an allowance for doubtful receivable. Accounts receivable are recognized in the period when the Group has provided services to its customers and when its right to consideration is unconditional. Allowance for doubtful receivables were $18,913 and $10,265 as of June 30,2025 and December 31,2024,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Non-employee share-based compensation</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Group accounts for share-based compensation granted to non-employees in accordance with ASC 718, Compensation—Stock Compensation, as amended by ASU 2018-07. In accordance with ASC 718, the Group determines whether an award should be classified and accounted for as a liability award or equity award. All the Group’s grants of share-based awards were classified as equity awards and are measured at fair value on the grant date, which is generally based on the closing market price of the Company’s common stock on that date. The grant-date fair value is recognized as expense over the requisite service period of two-years on a straight-line basis.</w:t>
      </w:r>
    </w:p>
    <w:p>
      <w:pPr>
        <w:spacing w:after="0" w:line="183"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For awards that are fully vested and non-forfeitable at the grant date but relate to services to be provided in future periods, the grant-date fair value is recorded as a prepaid expense within prepaid expenses and other current assets, and other non-current assets and amortized to expense over the period in which the services are performed.</w:t>
      </w:r>
    </w:p>
    <w:p>
      <w:pPr>
        <w:spacing w:after="0" w:line="17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(f)</w:t>
      </w:r>
      <w:r>
        <w:rPr>
          <w:sz w:val="20"/>
          <w:szCs w:val="20"/>
          <w:color w:val="auto"/>
        </w:rPr>
        <w:tab/>
      </w:r>
      <w:r>
        <w:rPr>
          <w:rFonts w:ascii="Times New Roman" w:cs="Times New Roman" w:eastAsia="Times New Roman" w:hAnsi="Times New Roman"/>
          <w:sz w:val="17"/>
          <w:szCs w:val="17"/>
          <w:b w:val="1"/>
          <w:bCs w:val="1"/>
          <w:i w:val="1"/>
          <w:iCs w:val="1"/>
          <w:color w:val="auto"/>
        </w:rPr>
        <w:t>Revenue recognition</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Group recognized its revenue under ASC Topic 606, Revenue from Contracts with Customers (“ASC 606”). The core principle underlying the revenue recognition of ASC606 allows the Group to recognize revenue that represents the transfer of goods and services to customers in an amount that reflects the consideration to which the Group expects to be entitled in such exchange. This will require the Group to identify contractual performance obligations and determine whether revenue should be recognized at a point in time or over time, based on when control of goods and services transfers to a customer.</w:t>
      </w:r>
    </w:p>
    <w:p>
      <w:pPr>
        <w:spacing w:after="0" w:line="18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To achieve that core principle, the Group applies five-step model to recognize revenue from customer contracts. The five-step model requires the Group to (i) identify the contract with the customer; (ii) identify the performance obligations in the contract; (iii) determine the transaction price, including variable consideration to the extent that it is probable that a significant future reversal will not occur; (iv) allocate the transaction price to the respective performance obligations in the contract; and (v) recognize revenue when (or as) the Group satisfies the performance obligation.</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Group derives its revenues principally from providing business consulting service and IT customization service.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recognition policies for each type of revenue stream are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consulting</w:t>
      </w:r>
    </w:p>
    <w:p>
      <w:pPr>
        <w:spacing w:after="0" w:line="229"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color w:val="auto"/>
        </w:rPr>
        <w:t>The Group provides a wide range of business consulting services to customers of various industries, from business strategy advisory, to design of business workflows and processes, brand and reputation, as well as digital marketing in achieving organization objectives such as enhancing cost efficiency, productivity and customer experience etc.</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73" w:right="419" w:bottom="1440" w:gutter="0" w:footer="0" w:header="0"/>
        </w:sectPr>
      </w:pPr>
    </w:p>
    <w:bookmarkStart w:id="11" w:name="page12"/>
    <w:bookmarkEnd w:id="11"/>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UNAUDITED CONDENSED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Group provides a series of business consulting services which is interrelated as one promise to support the customers to achieve brand strategy and marketing strategy development. No variable consideration, significant financing component, or non-cash payment is identified in the arrangements for transaction price with the customers. The revenue is recognized at a point in time when the legal title and control of the service has been transferred, being when the project solution is delivered, and accepted by the customer, there is no unfulfilled obligation that could affect the customers’ acceptance of the products and services, and it is highly probable that a significant reversal will not occur. There is no significant returns, refund and other similar obligations during each reporting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customization</w:t>
      </w:r>
    </w:p>
    <w:p>
      <w:pPr>
        <w:spacing w:after="0" w:line="229"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The Group offers IT customization services in providing customer comprising tailored made IT solutions or the packaged software solutions in meeting the customer’s objectives. It covers end-to-end solutions including IT consultancy, design of the system architecture, planning and design of the solution, implementation, quality assurance as well as maintenance support services.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IT consulting</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Group provides a series of IT consulting service which is interrelated as one promise to develop customized software solutions.</w:t>
      </w:r>
    </w:p>
    <w:p>
      <w:pPr>
        <w:spacing w:after="0" w:line="22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contract payment is made by the customers as agreed in the contract, and no variable consideration, significant financing component, or non-cash payment is identified in the arrangements for transaction price with the customers. The revenue is recognized at a point in time when the customized software solution is successfully completed, delivered and accepted by customers. There is no significant returns, refund and other similar obligations during each reporting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Management software</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Group offers a range of management software solutions to customers via an annual subscription-based model, support services are generally included in the subscription. The Group also provides initial setup and training services to customers before their software subscription. The Group has identified that the nature of one overall promise to customers as the provision of a software solution comprising the one-year subscription of software in a cloud-based infrastructure hosted by the Group, well set-up and implemented with a session of training, which is needed to allow the customer to access the software functionality, and has accounted for the promise as one combined performance obligation.</w:t>
      </w:r>
    </w:p>
    <w:p>
      <w:pPr>
        <w:spacing w:after="0" w:line="183"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customer simultaneously received and consumed the benefits provided by the Group during the contract period. Thus, revenue from management software is recognized over time on a ratable basis over one year, starting from the date that the software is made available to the customers.</w:t>
      </w:r>
    </w:p>
    <w:p>
      <w:pPr>
        <w:spacing w:after="0" w:line="162" w:lineRule="exact"/>
        <w:rPr>
          <w:sz w:val="20"/>
          <w:szCs w:val="20"/>
          <w:color w:val="auto"/>
        </w:rPr>
      </w:pPr>
    </w:p>
    <w:p>
      <w:pPr>
        <w:ind w:right="760" w:firstLine="324"/>
        <w:spacing w:after="0" w:line="282" w:lineRule="auto"/>
        <w:rPr>
          <w:sz w:val="20"/>
          <w:szCs w:val="20"/>
          <w:color w:val="auto"/>
        </w:rPr>
      </w:pPr>
      <w:r>
        <w:rPr>
          <w:rFonts w:ascii="Times New Roman" w:cs="Times New Roman" w:eastAsia="Times New Roman" w:hAnsi="Times New Roman"/>
          <w:sz w:val="18"/>
          <w:szCs w:val="18"/>
          <w:color w:val="auto"/>
        </w:rPr>
        <w:t>The contract payment is made by the customers in advance, and not subject to any variable consideration, refund, cancellation or termination provision. No significant financing component, noncash payment identified in the arrangements with customers.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Others</w:t>
      </w:r>
    </w:p>
    <w:p>
      <w:pPr>
        <w:spacing w:after="0" w:line="229" w:lineRule="exact"/>
        <w:rPr>
          <w:sz w:val="20"/>
          <w:szCs w:val="20"/>
          <w:color w:val="auto"/>
        </w:rPr>
      </w:pPr>
    </w:p>
    <w:p>
      <w:pPr>
        <w:jc w:val="both"/>
        <w:ind w:right="600" w:firstLine="324"/>
        <w:spacing w:after="0" w:line="266" w:lineRule="auto"/>
        <w:rPr>
          <w:sz w:val="20"/>
          <w:szCs w:val="20"/>
          <w:color w:val="auto"/>
        </w:rPr>
      </w:pPr>
      <w:r>
        <w:rPr>
          <w:rFonts w:ascii="Times New Roman" w:cs="Times New Roman" w:eastAsia="Times New Roman" w:hAnsi="Times New Roman"/>
          <w:sz w:val="18"/>
          <w:szCs w:val="18"/>
          <w:color w:val="auto"/>
        </w:rPr>
        <w:t>The Group also generates revenue from selling event tickets on behalf of merchants in its own platform. The Group identifies one performance obligation in this business, which is to transfer control of an event ticket on behalf of merchants to a ticker buyer once an order has been confirmed. Payment from the ticket buyers is typically due upon order confirmation or delivery of the tickets.</w:t>
      </w:r>
    </w:p>
    <w:p>
      <w:pPr>
        <w:spacing w:after="0" w:line="176"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The Group acts as an agent and recognizes revenue on a net basis at a point in time when the delivery of the ticket is in place, as the Group is not responsible for transferring the ticket service to the customer, and the Group does not bear any inventory risk.</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UNAUDITED CONDENSED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illustrates the disaggregation of revenue by revenue stream for the six months ended June 30, 2025 and 2024:</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six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Business consulting service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111,318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 customization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22,106</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265,649</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 IT consulting</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17,096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(ii) Management software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5,010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265,649</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14,506</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1,872</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revenues</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36,612</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378,839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illustrates the disaggregation of revenue by timing of revenue recognition for the six months ended June 30, 2025 and 2024:</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six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a point in time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31,602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113,190</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Over time</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5,010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265,649</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36,612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378,839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When the Group begins to deliver the products or services pursuant to the performance obligations in the contract, the Group presents the contract in the consolidated balance sheet as a contract asset or a contract liability, depending on the relationship between the Group’s performance and the customer’s payment.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contract assets consist of accounts receivable and contract costs. Accounts receivable represent revenue recognized for the amounts invoiced when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has satisfied its performance obligation and has unconditional right to the payment. Contract costs are deferred for the contract preparation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recognized as cost of revenues when goods or services are transferred to customers. The Group recognized incremental commission costs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obtaining management software contracts with customers and incurred costs to fulfill service contract before service is provided to a customer as contract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 and amortized to cost in a pattern that matches the timing of the revenue recognition of the related contract. The Group’s contract assets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$159,247 and $138,740 as of June 30, 2025 and December 31, 2024, respectively. The cost recognized for the six months ended June 30, 2025 and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2024 that was included in the contract asset balance at the beginning of the period were $848 and $310,271, respectively.</w:t>
      </w:r>
    </w:p>
    <w:p>
      <w:pPr>
        <w:spacing w:after="0" w:line="207"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contract liabilities consist of deferred revenue, which represents the billings or cash received for services in advance of revenue recognition and is recognized as revenue when all the Group’s revenue recognition criteria are met. Contract assets and contract liabilities are reported in a net position on an individual contract basis at the end of each reporting period. The Group’s deferred revenue was $543,849 and $409,654 as of June 30, 2025 and December 31, 2024, respectively. The revenue recognized for the six months ended June 30, 2025 and for the year ended December 31, 2024 that was included in the contract liability balance at the beginning of the period were $689 and $331,204, respectively. All unsatisfied performance obligation will be performed within the next twelve months and no significant financing component is involved.</w:t>
      </w:r>
    </w:p>
    <w:p>
      <w:pPr>
        <w:spacing w:after="0" w:line="187"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Other than accounts receivable and deferred revenue, the Group had no other material contract assets or contract liabilities recorded on its unaudited condensed consolidated balance sheets as of June 30, 2025 and December 31,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 w:name="page14"/>
    <w:bookmarkEnd w:id="13"/>
    <w:p>
      <w:pPr>
        <w:jc w:val="center"/>
        <w:ind w:left="380" w:right="20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UNAUDITED CONDENSED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Income taxes</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Group accounts for income taxes under ASC 740. Deferred tax assets and liabilities are recognized for the future tax consequences attributable to differences between the consolidated financial statement carrying amounts of existing assets and liabilities and their respective tax bases.</w:t>
      </w:r>
    </w:p>
    <w:p>
      <w:pPr>
        <w:spacing w:after="0" w:line="162"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 Current income taxes are provided for in accordance with the laws of the relevant taxing authorities.</w:t>
      </w:r>
    </w:p>
    <w:p>
      <w:pPr>
        <w:spacing w:after="0" w:line="180"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Based upon the level of historical taxable income and projections for future taxable income over the periods in which the deferred tax assets are recoverable, management estimated that it is more likely than not that the results of future operations will not generate sufficient taxable income to realize the deferred tax assets as of June 30, 2025 and December 31, 2024. Thus, management decided to record all of the valuation allowance. Valuation allowance amounted to $3,244,738 and $2,297,022 as of June 30, 2025 and December 31, 2024, respectively. While the Group consider the facts above, our projections of future income qualified tax-planning strategies may be changed due to the macroeconomic conditions and our business development. The deferred tax assets could be utilized in the future years if we make profits in the future, the valuation allowance shall be reversed.</w:t>
      </w:r>
    </w:p>
    <w:p>
      <w:pPr>
        <w:spacing w:after="0" w:line="1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provisions of ASC 740-10-25, “Accounting for Uncertainty in Income Taxes,” prescribe a more-likely-than-not threshold for consolidated financial statement recognition and measurement of a tax position taken (or expected to be taken) in a tax return. This interpretation also provides guidance on the recognition of income tax assets and liabilities, classification of current and deferred income tax assets and liabilities, accounting for interest and penalties associated with tax positions, and related disclosures.</w:t>
      </w:r>
    </w:p>
    <w:p>
      <w:pPr>
        <w:spacing w:after="0" w:line="18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Group did not accrue any liability, interest or penalties related to uncertain tax positions in its provision for income taxes line of its consolidated statements of operations for six months ended June 30, 2025 and 2024, respectively. The Group will recognize interest and penalties, if any, related to unrecognized tax benefits on the income tax expense line in the accompanying consolidated statement of operations. Accrued interest and penalties will be included on the related tax liability line in the consolidated balance sheet.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Group does not expect that its assessment regarding unrecognized tax positions will materially change over the next 12 months.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73" w:right="399" w:bottom="1440" w:gutter="0" w:footer="0" w:header="0"/>
        </w:sectPr>
      </w:pPr>
    </w:p>
    <w:bookmarkStart w:id="14" w:name="page15"/>
    <w:bookmarkEnd w:id="14"/>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UNAUDITED CONDENSED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Foreign currency transactions and translations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Transactions denominated in currencies other than the functional currency are translated into the functional currency at the exchange rates prevailing at the dates of the transaction. Monetary assets and liabilities denominated in currencies other than the functional currency are translated into the functional currency using the applicable exchange rates at the balance sheet dates. The resulting exchange differences are recorded in the consolidated statements of operations and comprehensive loss.</w:t>
      </w:r>
    </w:p>
    <w:p>
      <w:pPr>
        <w:spacing w:after="0" w:line="180"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The reporting currency of the Group is United States Dollars (“US$”) and the accompanying financial statements have been expressed in US$. The Group’s subsidiaries in Singapore conduct their businesses and maintain its books and record in the local currency, Singapore Dollars (“SGD”), as their functional currency.</w:t>
      </w:r>
    </w:p>
    <w:p>
      <w:pPr>
        <w:spacing w:after="0" w:line="176" w:lineRule="exact"/>
        <w:rPr>
          <w:sz w:val="20"/>
          <w:szCs w:val="20"/>
          <w:color w:val="auto"/>
        </w:rPr>
      </w:pPr>
    </w:p>
    <w:p>
      <w:pPr>
        <w:ind w:right="240" w:firstLine="324"/>
        <w:spacing w:after="0" w:line="255" w:lineRule="auto"/>
        <w:rPr>
          <w:sz w:val="20"/>
          <w:szCs w:val="20"/>
          <w:color w:val="auto"/>
        </w:rPr>
      </w:pPr>
      <w:r>
        <w:rPr>
          <w:rFonts w:ascii="Times New Roman" w:cs="Times New Roman" w:eastAsia="Times New Roman" w:hAnsi="Times New Roman"/>
          <w:sz w:val="18"/>
          <w:szCs w:val="18"/>
          <w:color w:val="auto"/>
        </w:rPr>
        <w:t>In general, for consolidation purposes, assets and liabilities of its subsidiaries whose functional currency is not US$ are translated into US$, in accordance with ASC Topic 830-30, “Translation of Financial Statement”, using the exchange rate on the balance sheet date. Revenues and expenses are translated at average rates prevailing during the period. The gains and losses resulting from translation of financial statements of foreign subsidiary are recorded as a separate component of accumulated other comprehensive income (loss) within the statements of changes in equity (deficit). Cash flows are also translated at average translation rates for the periods; therefore, amounts reported on the statement of cash flows will not necessarily agree with changes in the corresponding balances on the consolidated balance sheets. Translation of foreign currencies into US$1 have been made at the following exchange rates for the respective periods: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sheet items, except for equity accounts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1.2719</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25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56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Items in the statements of operations and comprehensive loss, and statements of cash flow</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1.3237</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F-11</w:t>
            </w: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5" w:name="page16"/>
    <w:bookmarkEnd w:id="15"/>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UNAUDITED CONDENSED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229"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and penalties and other sources are recorded when it is probable that a liability has been incurred and the amount can be reasonably estimated. If a potential material loss contingency is not probable but is reasonably possible, or is probable but cannot be estimated, then the nature of the contingent liability, together with an estimate of the range of possible loss if determinable and material, is disclosed. Legal costs incurred in connection with loss contingencies are expensed as incurred.</w:t>
      </w:r>
    </w:p>
    <w:p>
      <w:pPr>
        <w:spacing w:after="0" w:line="17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(i)</w:t>
      </w:r>
      <w:r>
        <w:rPr>
          <w:sz w:val="20"/>
          <w:szCs w:val="20"/>
          <w:color w:val="auto"/>
        </w:rPr>
        <w:tab/>
      </w:r>
      <w:r>
        <w:rPr>
          <w:rFonts w:ascii="Times New Roman" w:cs="Times New Roman" w:eastAsia="Times New Roman" w:hAnsi="Times New Roman"/>
          <w:sz w:val="17"/>
          <w:szCs w:val="17"/>
          <w:b w:val="1"/>
          <w:bCs w:val="1"/>
          <w:i w:val="1"/>
          <w:iCs w:val="1"/>
          <w:color w:val="auto"/>
        </w:rPr>
        <w:t>Recent accounting pronouncements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Group is an “emerging growth company” (“EGC”) as defined in the Jumpstart Our Business Startups Act of 2012 (the “JOBS Act”). Under the JOBS Act, EGC can delay adopting new or revised accounting standards issued subsequent to the enactment of the JOBS Act until such time as those standards apply to private companies. The Group does not opt out of extended transition period for complying with any new or revised financial accounting standards. Therefore, the Group’s financial statements may not be comparable to companies that comply with public company effective dates.</w:t>
      </w:r>
    </w:p>
    <w:p>
      <w:pPr>
        <w:spacing w:after="0" w:line="18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The intent of ASU 2023-09 is to improve the disclosures around a company’s rate reconciliation information and certain types of income taxes companies are required to pay. Specifically, these new disclosure requirements will provide more transparency regarding income taxes companies pay in the United States and other countries, along with more disclosure around a company’s rate reconciliation, among other new disclosure requirements, such that users of financial statements can get better information about how the operations, related tax risks, tax planning and operational opportunities of companies affect their effective tax rates and future cash flow prospects. ASU 2023-09 is effective for annual fiscal years beginning after December 15, 2024, with early adoption permitted for annual financial statements that have not yet been issued or made available for issuance. The amendments under ASU 2023-09 should be applied on a prospective basis, although retrospective application is permitted. The Group is currently evaluating the impact that the adoption of these standards will have on its unaudited condensed Consolidated Financial Statements.</w:t>
      </w:r>
    </w:p>
    <w:p>
      <w:pPr>
        <w:spacing w:after="0" w:line="188"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(Subtopic 220-40): Disaggregation of Income Statement Expenses (“ASU 2024-03”), and in January 2025, the FASB issued ASU No. 2025-01, Income Statement - Reporting Comprehensive Income - Expense Disaggregation Disclosures (Subtopic 220-40): Clarifying the Effective Date (“ASU 2025-01”). ASU 2024-03 requires additional disclosure of the nature of expenses included in the income statement as well as disclosures about specific types of expenses included in the expense captions presented in the income statement. ASU 2024-03, as clarified by ASU 2025-01, is effective for annual reporting periods beginning after December 15, 2026, and interim periods within annual reporting periods beginning after December 15, 2027. Both early adoption and retrospective application are permitted. The Group is currently evaluating the impact that the adoption of these standards will have on its unaudited condensed Consolidated Financial Statements.</w:t>
      </w:r>
    </w:p>
    <w:p>
      <w:pPr>
        <w:spacing w:after="0" w:line="192"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Other accounting standards that have been issued by FASB that do not require adoption until a future date are not expected to have a material impact on the unaudited condensed consolidated financial statements upon adoption. The Group does not discuss recent standards that are not anticipated to have an impact on or are unrelated to its consolidated balance sheets, statements of operations and comprehensive loss and statements of cash flows.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16" w:name="page17"/>
    <w:bookmarkEnd w:id="16"/>
    <w:p>
      <w:pPr>
        <w:jc w:val="center"/>
        <w:ind w:left="360" w:right="20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UNAUDITED CONDENSED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AND GOING CONCERN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accordance with Accounting Standards Update (“ASU”) 2014-15, “Disclosure of Uncertainties about an Entity’s Ability to Continue as a Going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Concern (Subtopic 205-40)”, the Group has evaluated whether there are conditions and events, considered in the aggregate, that raise substantial doubt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about the Group’s ability to continue as a going concern within one year after the date that the unaudited condensed consolidated financial statements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The Group incurred net loss of $11,271,548 and $1,927,027 for the six months ended June 30, 2025 and 2024, respectively. Net cash used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activities were $3,649,470 and $2,282,403 for the six months ended June 30, 2025 and 2024, respectively. Accumulated deficits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$25,577,935 and $14,306,387 as of June 30, 2025 and December 31, 2024, respectively. These conditions raised substantial doubts about the Group’s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ability to continue as a going concern.</w:t>
      </w:r>
    </w:p>
    <w:p>
      <w:pPr>
        <w:spacing w:after="0" w:line="20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Group has funded its operations from both operational sources of cash and equity and debt financing. The Group’s liquidity is based on its ability to generate cash from operating activities, obtain capital financing from equity interest investors and borrow funds from financial institutions. The Company’s ability to continue as a going concern is dependent on management’s ability to successfully execute its business plan, which includes generating revenue while controlling operating cost to generate positive operating cash flows and obtaining funds from outside sources of financing to generate positive financing cash flows. As of June 30, 2025, the Group had cash of $184,618 and positive working capital of $11,092. The Group intends to pursue private financing of debt or equity. If the Group is unable to obtain sufficient funding, it could be required to delay its development efforts and limit activities, which could adversely affect its business and the consolidated financial statements.</w:t>
      </w:r>
    </w:p>
    <w:p>
      <w:pPr>
        <w:spacing w:after="0" w:line="18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Considering the current financial factors raise doubt about the Group’s ability to continue as a going concern, management has made mitigation plan to alleviate liquidity pressure, including:</w:t>
      </w:r>
    </w:p>
    <w:p>
      <w:pPr>
        <w:spacing w:after="0" w:line="162" w:lineRule="exact"/>
        <w:rPr>
          <w:sz w:val="20"/>
          <w:szCs w:val="20"/>
          <w:color w:val="auto"/>
        </w:rPr>
      </w:pPr>
    </w:p>
    <w:p>
      <w:pPr>
        <w:jc w:val="both"/>
        <w:ind w:left="660" w:right="80" w:hanging="328"/>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22, 2025, Mr. Soon Huat Lim, the ultimate controller of the Group, provided a financial support letter to the Group, pursuant to which up to SGD 8.0 million cash can be further provided to meet the Group’s other liabilities and commitments as they become due for at least twelve months from the issuance of this letter, to support the Group’s normal operation. If needed, Mr. Soon Huat Lim will sell or pledge the direct and indirect shares on the Company to provide such financial support when necessary.</w:t>
      </w:r>
    </w:p>
    <w:p>
      <w:pPr>
        <w:spacing w:after="0" w:line="179"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would make continuous efforts to improve operating efficiency, standardize operations to reduce discretionary spending, enhance cost controls, and create synergy of allocated resources.</w:t>
      </w:r>
    </w:p>
    <w:p>
      <w:pPr>
        <w:spacing w:after="0" w:line="161"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is pursuing private financing of debt or equity and developing new business in 2025, which the Group believes will generate sufficient profit and cash to support the Group’s operation. In September 2025, the Group received US$2,374,566 in net proceeds and issued 18,575,714 ADSs to purchasers through a private investment in public equity (PIPE) transaction (as referred in Note 16). The Group believes the private financing and the new business may help to alleviate liquidity pressure.</w:t>
      </w:r>
    </w:p>
    <w:p>
      <w:pPr>
        <w:spacing w:after="0" w:line="180"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The Group believes the financial support from the ultimate controller of the Group, private financing and the new business may help to alleviate liquidity pressure.</w:t>
      </w:r>
    </w:p>
    <w:p>
      <w:pPr>
        <w:spacing w:after="0" w:line="16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Accordingly, the accompanying unaudited condensed consolidated financial statements have been prepared on the basis the Group will be able to continue as a going concern for a period of one year after the issuance of the consolidated financial statements. The unaudited condensed consolidated financial statements do not include any adjustments related to the recoverability or classification of asset and the amounts or classification of liabilities that may result from the outcome of this uncertainty.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17" w:name="page18"/>
    <w:bookmarkEnd w:id="17"/>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UNAUDITED CONDENSED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ACCOUNTS RECEIVABLE, NET</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80" w:type="dxa"/>
            <w:vAlign w:val="bottom"/>
          </w:tcPr>
          <w:p>
            <w:pPr>
              <w:spacing w:after="0"/>
              <w:rPr>
                <w:sz w:val="24"/>
                <w:szCs w:val="24"/>
                <w:color w:val="auto"/>
              </w:rPr>
            </w:pPr>
          </w:p>
        </w:tc>
        <w:tc>
          <w:tcPr>
            <w:tcW w:w="104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120,991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expected credit loss</w:t>
            </w:r>
          </w:p>
        </w:tc>
        <w:tc>
          <w:tcPr>
            <w:tcW w:w="140" w:type="dxa"/>
            <w:vAlign w:val="bottom"/>
          </w:tcPr>
          <w:p>
            <w:pPr>
              <w:spacing w:after="0"/>
              <w:rPr>
                <w:sz w:val="20"/>
                <w:szCs w:val="20"/>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(18,913)</w:t>
            </w:r>
          </w:p>
        </w:tc>
        <w:tc>
          <w:tcPr>
            <w:tcW w:w="1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(10,265)</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102,078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80,587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9"/>
              </w:rPr>
              <w:t>The Group recorded $10,359 and nil bad debt expense for the six months ended June 30, 2025 and 2024, respectively.</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movement of the allowance for expected credit loss is as follows: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80" w:type="dxa"/>
            <w:vAlign w:val="bottom"/>
          </w:tcPr>
          <w:p>
            <w:pPr>
              <w:spacing w:after="0"/>
              <w:rPr>
                <w:sz w:val="24"/>
                <w:szCs w:val="24"/>
                <w:color w:val="auto"/>
              </w:rPr>
            </w:pPr>
          </w:p>
        </w:tc>
        <w:tc>
          <w:tcPr>
            <w:tcW w:w="104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80" w:type="dxa"/>
            <w:vAlign w:val="bottom"/>
          </w:tcPr>
          <w:p>
            <w:pPr>
              <w:spacing w:after="0"/>
              <w:rPr>
                <w:sz w:val="18"/>
                <w:szCs w:val="18"/>
                <w:color w:val="auto"/>
              </w:rPr>
            </w:pPr>
          </w:p>
        </w:tc>
        <w:tc>
          <w:tcPr>
            <w:tcW w:w="104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80" w:type="dxa"/>
            <w:vAlign w:val="bottom"/>
          </w:tcPr>
          <w:p>
            <w:pPr>
              <w:spacing w:after="0"/>
              <w:rPr>
                <w:sz w:val="18"/>
                <w:szCs w:val="18"/>
                <w:color w:val="auto"/>
              </w:rPr>
            </w:pPr>
          </w:p>
        </w:tc>
        <w:tc>
          <w:tcPr>
            <w:tcW w:w="104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the beginning of the period / year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Expected credit loss provision</w:t>
            </w:r>
          </w:p>
        </w:tc>
        <w:tc>
          <w:tcPr>
            <w:tcW w:w="14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(10,359)</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1,711</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as of the end of the period / year</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(18,913</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(10,265</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PREPAID EXPENSES AND OTHER CURRENT ASSETS</w:t>
            </w: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Prepayments and other current assets consisted of the following:</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80" w:type="dxa"/>
            <w:vAlign w:val="bottom"/>
          </w:tcPr>
          <w:p>
            <w:pPr>
              <w:spacing w:after="0"/>
              <w:rPr>
                <w:sz w:val="24"/>
                <w:szCs w:val="24"/>
                <w:color w:val="auto"/>
              </w:rPr>
            </w:pPr>
          </w:p>
        </w:tc>
        <w:tc>
          <w:tcPr>
            <w:tcW w:w="104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to suppliers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1,145,460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1,168,922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76,786</w:t>
            </w: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72,716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prepayment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59,188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72,886</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4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5,295</w:t>
            </w:r>
          </w:p>
        </w:tc>
        <w:tc>
          <w:tcPr>
            <w:tcW w:w="180" w:type="dxa"/>
            <w:vAlign w:val="bottom"/>
          </w:tcPr>
          <w:p>
            <w:pPr>
              <w:spacing w:after="0"/>
              <w:rPr>
                <w:sz w:val="20"/>
                <w:szCs w:val="20"/>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4,928</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1,286,729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1,319,452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Allowance for doubtful accounts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(78,623</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(73,196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prepaid expenses and other current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1,208,106</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1,246,256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The Group did not record any bad debt expense for the six months ended June 30, 2025 and 2024.</w:t>
            </w: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movement of the allowance for doubtful accounts is as follows: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80" w:type="dxa"/>
            <w:vAlign w:val="bottom"/>
          </w:tcPr>
          <w:p>
            <w:pPr>
              <w:spacing w:after="0"/>
              <w:rPr>
                <w:sz w:val="24"/>
                <w:szCs w:val="24"/>
                <w:color w:val="auto"/>
              </w:rPr>
            </w:pPr>
          </w:p>
        </w:tc>
        <w:tc>
          <w:tcPr>
            <w:tcW w:w="104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80" w:type="dxa"/>
            <w:vAlign w:val="bottom"/>
          </w:tcPr>
          <w:p>
            <w:pPr>
              <w:spacing w:after="0"/>
              <w:rPr>
                <w:sz w:val="18"/>
                <w:szCs w:val="18"/>
                <w:color w:val="auto"/>
              </w:rPr>
            </w:pPr>
          </w:p>
        </w:tc>
        <w:tc>
          <w:tcPr>
            <w:tcW w:w="10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80" w:type="dxa"/>
            <w:vAlign w:val="bottom"/>
          </w:tcPr>
          <w:p>
            <w:pPr>
              <w:spacing w:after="0"/>
              <w:rPr>
                <w:sz w:val="18"/>
                <w:szCs w:val="18"/>
                <w:color w:val="auto"/>
              </w:rPr>
            </w:pPr>
          </w:p>
        </w:tc>
        <w:tc>
          <w:tcPr>
            <w:tcW w:w="104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the beginning of the period / year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(73,196)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(74,833)</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(5,427)</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1,637</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as of the end of the period / year</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(78,623</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(73,196</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F-14</w:t>
            </w: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8" w:name="page19"/>
    <w:bookmarkEnd w:id="18"/>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UNAUDITED CONDENSED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net,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20" w:type="dxa"/>
            <w:vAlign w:val="bottom"/>
          </w:tcPr>
          <w:p>
            <w:pPr>
              <w:spacing w:after="0"/>
              <w:rPr>
                <w:sz w:val="18"/>
                <w:szCs w:val="18"/>
                <w:color w:val="auto"/>
              </w:rPr>
            </w:pPr>
          </w:p>
        </w:tc>
        <w:tc>
          <w:tcPr>
            <w:tcW w:w="10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63"/>
        </w:trPr>
        <w:tc>
          <w:tcPr>
            <w:tcW w:w="86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and electric equipment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5"/>
              </w:rPr>
              <w:t>141,550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124,526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160" w:type="dxa"/>
            <w:vAlign w:val="bottom"/>
          </w:tcPr>
          <w:p>
            <w:pPr>
              <w:spacing w:after="0"/>
              <w:rPr>
                <w:sz w:val="18"/>
                <w:szCs w:val="18"/>
                <w:color w:val="auto"/>
              </w:rPr>
            </w:pP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129,573</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120,629</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23,280</w:t>
            </w:r>
          </w:p>
        </w:tc>
        <w:tc>
          <w:tcPr>
            <w:tcW w:w="2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21,673</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Subtotal</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ind w:left="380"/>
              <w:spacing w:after="0" w:line="203" w:lineRule="exact"/>
              <w:rPr>
                <w:sz w:val="20"/>
                <w:szCs w:val="20"/>
                <w:color w:val="auto"/>
              </w:rPr>
            </w:pPr>
            <w:r>
              <w:rPr>
                <w:rFonts w:ascii="Times New Roman" w:cs="Times New Roman" w:eastAsia="Times New Roman" w:hAnsi="Times New Roman"/>
                <w:sz w:val="18"/>
                <w:szCs w:val="18"/>
                <w:b w:val="1"/>
                <w:bCs w:val="1"/>
                <w:color w:val="auto"/>
                <w:w w:val="95"/>
              </w:rPr>
              <w:t>294,403</w:t>
            </w: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266,828</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(167,732)</w:t>
            </w:r>
          </w:p>
        </w:tc>
        <w:tc>
          <w:tcPr>
            <w:tcW w:w="2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(127,111)</w:t>
            </w: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ind w:left="380"/>
              <w:spacing w:after="0" w:line="203" w:lineRule="exact"/>
              <w:rPr>
                <w:sz w:val="20"/>
                <w:szCs w:val="20"/>
                <w:color w:val="auto"/>
              </w:rPr>
            </w:pPr>
            <w:r>
              <w:rPr>
                <w:rFonts w:ascii="Times New Roman" w:cs="Times New Roman" w:eastAsia="Times New Roman" w:hAnsi="Times New Roman"/>
                <w:sz w:val="18"/>
                <w:szCs w:val="18"/>
                <w:b w:val="1"/>
                <w:bCs w:val="1"/>
                <w:color w:val="auto"/>
                <w:w w:val="95"/>
              </w:rPr>
              <w:t>126,671</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139,717</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and amortization expense were $30,412 and $29,776 for the six months ended June 30, 2025 and 2024, respectively.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Group did not record any impairment charge for the six months ended June 30, 2025 and 2024.</w:t>
      </w:r>
    </w:p>
    <w:p>
      <w:pPr>
        <w:spacing w:after="0" w:line="221" w:lineRule="exact"/>
        <w:rPr>
          <w:sz w:val="20"/>
          <w:szCs w:val="20"/>
          <w:color w:val="auto"/>
        </w:rPr>
      </w:pPr>
    </w:p>
    <w:p>
      <w:pPr>
        <w:ind w:left="340" w:right="5640" w:hanging="332"/>
        <w:spacing w:after="0" w:line="530" w:lineRule="auto"/>
        <w:tabs>
          <w:tab w:leader="none" w:pos="340"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ACCRUED EXPENSES AND OTHER CURRENT LIABILITIES </w:t>
      </w:r>
      <w:r>
        <w:rPr>
          <w:rFonts w:ascii="Times New Roman" w:cs="Times New Roman" w:eastAsia="Times New Roman" w:hAnsi="Times New Roman"/>
          <w:sz w:val="17"/>
          <w:szCs w:val="17"/>
          <w:color w:val="auto"/>
        </w:rPr>
        <w:t>Accrued expenses and other current liabilities consisted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63"/>
        </w:trPr>
        <w:tc>
          <w:tcPr>
            <w:tcW w:w="86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2"/>
                <w:szCs w:val="22"/>
                <w:color w:val="auto"/>
              </w:rPr>
            </w:pPr>
          </w:p>
        </w:tc>
      </w:tr>
      <w:tr>
        <w:trPr>
          <w:trHeight w:val="243"/>
        </w:trPr>
        <w:tc>
          <w:tcPr>
            <w:tcW w:w="86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 xml:space="preserve">Other payables </w:t>
            </w:r>
            <w:r>
              <w:rPr>
                <w:rFonts w:ascii="Times New Roman" w:cs="Times New Roman" w:eastAsia="Times New Roman" w:hAnsi="Times New Roman"/>
                <w:sz w:val="28"/>
                <w:szCs w:val="28"/>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186,966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90,080</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Payroll payable</w:t>
            </w:r>
          </w:p>
        </w:tc>
        <w:tc>
          <w:tcPr>
            <w:tcW w:w="160" w:type="dxa"/>
            <w:vAlign w:val="bottom"/>
          </w:tcPr>
          <w:p>
            <w:pPr>
              <w:spacing w:after="0"/>
              <w:rPr>
                <w:sz w:val="20"/>
                <w:szCs w:val="20"/>
                <w:color w:val="auto"/>
              </w:rPr>
            </w:pP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106,250</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101,018</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accrued expenses and other current liabilities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w w:val="95"/>
              </w:rPr>
              <w:t>293,216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191,098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0" w:hanging="392"/>
        <w:spacing w:after="0"/>
        <w:tabs>
          <w:tab w:leader="none" w:pos="4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mainly consisted of reimbursement payables to employees and service fee payables to third party suppliers.</w:t>
      </w:r>
    </w:p>
    <w:p>
      <w:pPr>
        <w:spacing w:after="0" w:line="221"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summary of lease cost recognized in the Group’s consolidated statements of operations and comprehensive loss is as follows:</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six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500" w:type="dxa"/>
            <w:vAlign w:val="bottom"/>
            <w:tcBorders>
              <w:bottom w:val="single" w:sz="8" w:color="CCEEFF"/>
            </w:tcBorders>
          </w:tcPr>
          <w:p>
            <w:pPr>
              <w:spacing w:after="0"/>
              <w:rPr>
                <w:sz w:val="21"/>
                <w:szCs w:val="21"/>
                <w:color w:val="auto"/>
              </w:rPr>
            </w:pPr>
          </w:p>
        </w:tc>
        <w:tc>
          <w:tcPr>
            <w:tcW w:w="51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36"/>
        </w:trPr>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 cost</w:t>
            </w:r>
          </w:p>
        </w:tc>
        <w:tc>
          <w:tcPr>
            <w:tcW w:w="5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202,730</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230,495</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0"/>
        </w:trPr>
        <w:tc>
          <w:tcPr>
            <w:tcW w:w="350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w:t>
            </w:r>
          </w:p>
        </w:tc>
        <w:tc>
          <w:tcPr>
            <w:tcW w:w="518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202,730</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230,495</w:t>
            </w:r>
          </w:p>
        </w:tc>
        <w:tc>
          <w:tcPr>
            <w:tcW w:w="100" w:type="dxa"/>
            <w:vAlign w:val="bottom"/>
          </w:tcPr>
          <w:p>
            <w:pPr>
              <w:spacing w:after="0"/>
              <w:rPr>
                <w:sz w:val="18"/>
                <w:szCs w:val="18"/>
                <w:color w:val="auto"/>
              </w:rPr>
            </w:pPr>
          </w:p>
        </w:tc>
      </w:tr>
      <w:tr>
        <w:trPr>
          <w:trHeight w:val="20"/>
        </w:trPr>
        <w:tc>
          <w:tcPr>
            <w:tcW w:w="35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350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gridSpan w:val="2"/>
          </w:tcPr>
          <w:p>
            <w:pPr>
              <w:jc w:val="right"/>
              <w:ind w:right="3036"/>
              <w:spacing w:after="0"/>
              <w:rPr>
                <w:sz w:val="20"/>
                <w:szCs w:val="20"/>
                <w:color w:val="auto"/>
              </w:rPr>
            </w:pPr>
            <w:r>
              <w:rPr>
                <w:rFonts w:ascii="Times New Roman" w:cs="Times New Roman" w:eastAsia="Times New Roman" w:hAnsi="Times New Roman"/>
                <w:sz w:val="18"/>
                <w:szCs w:val="18"/>
                <w:color w:val="auto"/>
              </w:rPr>
              <w:t>F-15</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9" w:name="page20"/>
    <w:bookmarkEnd w:id="19"/>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UNAUDITED CONDENSED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(cont.)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Supplemental cash flows information related to leases was as follows:</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six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amounts included in measurement of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185,800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280,738</w:t>
            </w:r>
          </w:p>
        </w:tc>
      </w:tr>
    </w:tbl>
    <w:p>
      <w:pPr>
        <w:spacing w:after="0" w:line="198"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Group’s lease agreements do not have a discount rate that is readily determinable. The incremental borrowing rate is determined at lease commencement or lease modification and represents the rate of interest the Group would have to pay to borrow on a collateralized basis over a similar term and an amount equal to the lease payments in a similar economic environment.</w:t>
      </w:r>
    </w:p>
    <w:p>
      <w:pPr>
        <w:spacing w:after="0" w:line="176"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31,2024, the weighted average remaining lease term was 2.16 years and 2.65 years and, respectively, and the weighted average discount rate was 3.6% and 3.6% for the Group’s operating leases,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maturity of lease liabilities under operating leases as of June 30, 2025:</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10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Lease</w:t>
            </w:r>
          </w:p>
        </w:tc>
      </w:tr>
      <w:tr>
        <w:trPr>
          <w:trHeight w:val="245"/>
        </w:trPr>
        <w:tc>
          <w:tcPr>
            <w:tcW w:w="10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Payments</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remaining period of 2025</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210,993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421,986</w:t>
            </w:r>
          </w:p>
        </w:tc>
        <w:tc>
          <w:tcPr>
            <w:tcW w:w="80" w:type="dxa"/>
            <w:vAlign w:val="bottom"/>
          </w:tcPr>
          <w:p>
            <w:pPr>
              <w:spacing w:after="0"/>
              <w:rPr>
                <w:sz w:val="18"/>
                <w:szCs w:val="18"/>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274,248</w:t>
            </w:r>
          </w:p>
        </w:tc>
        <w:tc>
          <w:tcPr>
            <w:tcW w:w="80" w:type="dxa"/>
            <w:vAlign w:val="bottom"/>
            <w:shd w:val="clear" w:color="auto" w:fill="CCEEFF"/>
          </w:tcPr>
          <w:p>
            <w:pPr>
              <w:spacing w:after="0"/>
              <w:rPr>
                <w:sz w:val="21"/>
                <w:szCs w:val="21"/>
                <w:color w:val="auto"/>
              </w:rPr>
            </w:pPr>
          </w:p>
        </w:tc>
      </w:tr>
      <w:tr>
        <w:trPr>
          <w:trHeight w:val="203"/>
        </w:trPr>
        <w:tc>
          <w:tcPr>
            <w:tcW w:w="10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lease payments</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907,227</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35,271</w:t>
            </w:r>
          </w:p>
        </w:tc>
      </w:tr>
      <w:tr>
        <w:trPr>
          <w:trHeight w:val="203"/>
        </w:trPr>
        <w:tc>
          <w:tcPr>
            <w:tcW w:w="10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871,956</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397,266</w:t>
            </w:r>
          </w:p>
        </w:tc>
        <w:tc>
          <w:tcPr>
            <w:tcW w:w="80" w:type="dxa"/>
            <w:vAlign w:val="bottom"/>
            <w:shd w:val="clear" w:color="auto" w:fill="CCEEFF"/>
          </w:tcPr>
          <w:p>
            <w:pPr>
              <w:spacing w:after="0"/>
              <w:rPr>
                <w:sz w:val="21"/>
                <w:szCs w:val="21"/>
                <w:color w:val="auto"/>
              </w:rPr>
            </w:pPr>
          </w:p>
        </w:tc>
      </w:tr>
      <w:tr>
        <w:trPr>
          <w:trHeight w:val="210"/>
        </w:trPr>
        <w:tc>
          <w:tcPr>
            <w:tcW w:w="10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Non-current portion</w:t>
            </w: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474,690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10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TAXATION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Company is incorporated in the Cayman Islands. Under the current laws of the Cayman Islands, the Company is not subject to income or capital gains taxes. In addition, dividend payments are not subject to withholdings tax in the Cayman Islands.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Trident Digital Tech Pte. Ltd. and Quality Zone Technologies Pte. Ltd. are located in Singapore and are subject to 17% statutory income tax rate with respect to the profit generated from Singapore.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income tax provision consisted of the following components:</w:t>
            </w:r>
          </w:p>
        </w:tc>
        <w:tc>
          <w:tcPr>
            <w:tcW w:w="3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2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2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526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260" w:type="dxa"/>
            <w:vAlign w:val="bottom"/>
            <w:tcBorders>
              <w:bottom w:val="single" w:sz="8" w:color="CCEEFF"/>
            </w:tcBorders>
          </w:tcPr>
          <w:p>
            <w:pPr>
              <w:spacing w:after="0"/>
              <w:rPr>
                <w:sz w:val="20"/>
                <w:szCs w:val="20"/>
                <w:color w:val="auto"/>
              </w:rPr>
            </w:pPr>
          </w:p>
        </w:tc>
        <w:tc>
          <w:tcPr>
            <w:tcW w:w="342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3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shd w:val="clear" w:color="auto" w:fill="CCEEFF"/>
          </w:tcPr>
          <w:p>
            <w:pPr>
              <w:spacing w:after="0"/>
              <w:rPr>
                <w:sz w:val="18"/>
                <w:szCs w:val="18"/>
                <w:color w:val="auto"/>
              </w:rPr>
            </w:pPr>
          </w:p>
        </w:tc>
      </w:tr>
      <w:tr>
        <w:trPr>
          <w:trHeight w:val="23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3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income tax expense</w:t>
            </w:r>
          </w:p>
        </w:tc>
        <w:tc>
          <w:tcPr>
            <w:tcW w:w="342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526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2"/>
          </w:tcPr>
          <w:p>
            <w:pPr>
              <w:jc w:val="right"/>
              <w:ind w:right="3653"/>
              <w:spacing w:after="0"/>
              <w:rPr>
                <w:sz w:val="20"/>
                <w:szCs w:val="20"/>
                <w:color w:val="auto"/>
              </w:rPr>
            </w:pPr>
            <w:r>
              <w:rPr>
                <w:rFonts w:ascii="Times New Roman" w:cs="Times New Roman" w:eastAsia="Times New Roman" w:hAnsi="Times New Roman"/>
                <w:sz w:val="18"/>
                <w:szCs w:val="18"/>
                <w:color w:val="auto"/>
              </w:rPr>
              <w:t>F-16</w:t>
            </w: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20" w:name="page21"/>
    <w:bookmarkEnd w:id="20"/>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UNAUDITED CONDENSED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TAXATION </w:t>
      </w:r>
      <w:r>
        <w:rPr>
          <w:rFonts w:ascii="Times New Roman" w:cs="Times New Roman" w:eastAsia="Times New Roman" w:hAnsi="Times New Roman"/>
          <w:sz w:val="18"/>
          <w:szCs w:val="18"/>
          <w:color w:val="auto"/>
        </w:rPr>
        <w:t>(cont.)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reconciliation between the Group’s actual provision for income taxes and the provision at the SG, mainland statutory rate is as follows:</w:t>
      </w:r>
    </w:p>
    <w:p>
      <w:pPr>
        <w:spacing w:after="0" w:line="221"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For the six months ended</w:t>
      </w:r>
    </w:p>
    <w:p>
      <w:pPr>
        <w:spacing w:after="0" w:line="31"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0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1"/>
                <w:szCs w:val="21"/>
                <w:color w:val="auto"/>
              </w:rPr>
            </w:pPr>
          </w:p>
        </w:tc>
        <w:tc>
          <w:tcPr>
            <w:tcW w:w="180" w:type="dxa"/>
            <w:vAlign w:val="bottom"/>
            <w:tcBorders>
              <w:top w:val="single" w:sz="8" w:color="auto"/>
              <w:bottom w:val="single" w:sz="8" w:color="CCEEFF"/>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(11,271,548)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(1,927,027)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 computed at statutory EIT rate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(1,916,163)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(327,595)</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Reconciling items: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1,169,195</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15,722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746,968</w:t>
            </w: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311,873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6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Income tax expenses</w:t>
            </w:r>
          </w:p>
        </w:tc>
        <w:tc>
          <w:tcPr>
            <w:tcW w:w="200" w:type="dxa"/>
            <w:vAlign w:val="bottom"/>
            <w:tcBorders>
              <w:top w:val="single" w:sz="8" w:color="auto"/>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tcPr>
          <w:p>
            <w:pPr>
              <w:spacing w:after="0"/>
              <w:rPr>
                <w:sz w:val="21"/>
                <w:szCs w:val="21"/>
                <w:color w:val="auto"/>
              </w:rPr>
            </w:pPr>
          </w:p>
        </w:tc>
        <w:tc>
          <w:tcPr>
            <w:tcW w:w="18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432"/>
        </w:trPr>
        <w:tc>
          <w:tcPr>
            <w:tcW w:w="998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As of June 30, 2025 and December 31, 2024, the significant components of the deferred tax assets are summarized below:</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38"/>
        </w:trPr>
        <w:tc>
          <w:tcPr>
            <w:tcW w:w="8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40" w:type="dxa"/>
            <w:vAlign w:val="bottom"/>
          </w:tcPr>
          <w:p>
            <w:pPr>
              <w:spacing w:after="0"/>
              <w:rPr>
                <w:sz w:val="20"/>
                <w:szCs w:val="20"/>
                <w:color w:val="auto"/>
              </w:rPr>
            </w:pP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63"/>
        </w:trPr>
        <w:tc>
          <w:tcPr>
            <w:tcW w:w="8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carried forward</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3,180,983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2,145,813</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148,232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168,605</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71,990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50,590</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Bad debt provision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16,581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14,188</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2,851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2,074</w:t>
            </w:r>
          </w:p>
        </w:tc>
        <w:tc>
          <w:tcPr>
            <w:tcW w:w="0" w:type="dxa"/>
            <w:vAlign w:val="bottom"/>
          </w:tcPr>
          <w:p>
            <w:pPr>
              <w:spacing w:after="0"/>
              <w:rPr>
                <w:sz w:val="1"/>
                <w:szCs w:val="1"/>
                <w:color w:val="auto"/>
              </w:rPr>
            </w:pPr>
          </w:p>
        </w:tc>
      </w:tr>
      <w:tr>
        <w:trPr>
          <w:trHeight w:val="23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Other accruals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107,980</w:t>
            </w:r>
          </w:p>
        </w:tc>
        <w:tc>
          <w:tcPr>
            <w:tcW w:w="0" w:type="dxa"/>
            <w:vAlign w:val="bottom"/>
          </w:tcPr>
          <w:p>
            <w:pPr>
              <w:spacing w:after="0"/>
              <w:rPr>
                <w:sz w:val="1"/>
                <w:szCs w:val="1"/>
                <w:color w:val="auto"/>
              </w:rPr>
            </w:pPr>
          </w:p>
        </w:tc>
      </w:tr>
      <w:tr>
        <w:trPr>
          <w:trHeight w:val="216"/>
        </w:trPr>
        <w:tc>
          <w:tcPr>
            <w:tcW w:w="8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 gross</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3,420,637</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2,489,250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(3,244,738)</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(2,297,022)</w:t>
            </w:r>
          </w:p>
        </w:tc>
        <w:tc>
          <w:tcPr>
            <w:tcW w:w="0" w:type="dxa"/>
            <w:vAlign w:val="bottom"/>
          </w:tcPr>
          <w:p>
            <w:pPr>
              <w:spacing w:after="0"/>
              <w:rPr>
                <w:sz w:val="1"/>
                <w:szCs w:val="1"/>
                <w:color w:val="auto"/>
              </w:rPr>
            </w:pPr>
          </w:p>
        </w:tc>
      </w:tr>
      <w:tr>
        <w:trPr>
          <w:trHeight w:val="216"/>
        </w:trPr>
        <w:tc>
          <w:tcPr>
            <w:tcW w:w="8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 net of valuation allowance</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175,899</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192,228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(148,232)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(168,605)</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cost assets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(27,072)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(23,586)</w:t>
            </w:r>
          </w:p>
        </w:tc>
        <w:tc>
          <w:tcPr>
            <w:tcW w:w="0" w:type="dxa"/>
            <w:vAlign w:val="bottom"/>
          </w:tcPr>
          <w:p>
            <w:pPr>
              <w:spacing w:after="0"/>
              <w:rPr>
                <w:sz w:val="1"/>
                <w:szCs w:val="1"/>
                <w:color w:val="auto"/>
              </w:rPr>
            </w:pPr>
          </w:p>
        </w:tc>
      </w:tr>
      <w:tr>
        <w:trPr>
          <w:trHeight w:val="23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(595)</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8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(175,899)</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(192,228)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The roll forward of valuation allowances of deferred tax assets were as follows:</w:t>
            </w: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38"/>
        </w:trPr>
        <w:tc>
          <w:tcPr>
            <w:tcW w:w="8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40" w:type="dxa"/>
            <w:vAlign w:val="bottom"/>
          </w:tcPr>
          <w:p>
            <w:pPr>
              <w:spacing w:after="0"/>
              <w:rPr>
                <w:sz w:val="20"/>
                <w:szCs w:val="20"/>
                <w:color w:val="auto"/>
              </w:rPr>
            </w:pP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63"/>
        </w:trPr>
        <w:tc>
          <w:tcPr>
            <w:tcW w:w="86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beginning of period / year</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2,297,022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929,574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Additions of valuation allowance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746,968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1,430,665</w:t>
            </w:r>
          </w:p>
        </w:tc>
        <w:tc>
          <w:tcPr>
            <w:tcW w:w="0" w:type="dxa"/>
            <w:vAlign w:val="bottom"/>
          </w:tcPr>
          <w:p>
            <w:pPr>
              <w:spacing w:after="0"/>
              <w:rPr>
                <w:sz w:val="1"/>
                <w:szCs w:val="1"/>
                <w:color w:val="auto"/>
              </w:rPr>
            </w:pPr>
          </w:p>
        </w:tc>
      </w:tr>
      <w:tr>
        <w:trPr>
          <w:trHeight w:val="25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200,748</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(63,217)</w:t>
            </w:r>
          </w:p>
        </w:tc>
        <w:tc>
          <w:tcPr>
            <w:tcW w:w="0" w:type="dxa"/>
            <w:vAlign w:val="bottom"/>
          </w:tcPr>
          <w:p>
            <w:pPr>
              <w:spacing w:after="0"/>
              <w:rPr>
                <w:sz w:val="1"/>
                <w:szCs w:val="1"/>
                <w:color w:val="auto"/>
              </w:rPr>
            </w:pPr>
          </w:p>
        </w:tc>
      </w:tr>
      <w:tr>
        <w:trPr>
          <w:trHeight w:val="210"/>
        </w:trPr>
        <w:tc>
          <w:tcPr>
            <w:tcW w:w="86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as of end of period / year</w:t>
            </w: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3,244,738</w:t>
            </w: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2,297,022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F-17</w:t>
            </w: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0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21" w:name="page22"/>
    <w:bookmarkEnd w:id="21"/>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UNAUDITED CONDENSED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TAXATION </w:t>
      </w:r>
      <w:r>
        <w:rPr>
          <w:rFonts w:ascii="Times New Roman" w:cs="Times New Roman" w:eastAsia="Times New Roman" w:hAnsi="Times New Roman"/>
          <w:sz w:val="18"/>
          <w:szCs w:val="18"/>
          <w:color w:val="auto"/>
        </w:rPr>
        <w:t>(cont.)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June 30, 2025, the Company has net operating loss carried forward of $18,711,663. This net operating loss can be carried forward indefinitely.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Uncertain tax positions</w:t>
      </w:r>
    </w:p>
    <w:p>
      <w:pPr>
        <w:spacing w:after="0" w:line="22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Group evaluates each uncertain tax position (including the potential application of interest and penalties) based on the technical merits, and measure the unrecognized benefits associated with the tax positions. As of June 30, 2025 and December 31, 2024, the Group did not have any significant unrecognized uncertain tax positions. The Group did not incur interest and penalties tax for six months ended June 30, 2025 and 2024. As of June 30, 2025, the tax years ended December 31, 2019 to 2025 for the Group’s Singapore subsidiaries remain open for statutory examination by any applicable tax authorities.</w:t>
      </w:r>
    </w:p>
    <w:p>
      <w:pPr>
        <w:spacing w:after="0" w:line="179"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BORROWINGS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June 30, 2025 and December 31, 2024, summary of the borrowings is as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As of June 30,</w:t>
            </w:r>
          </w:p>
        </w:tc>
        <w:tc>
          <w:tcPr>
            <w:tcW w:w="16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r>
      <w:tr>
        <w:trPr>
          <w:trHeight w:val="250"/>
        </w:trPr>
        <w:tc>
          <w:tcPr>
            <w:tcW w:w="3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54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194"/>
        </w:trPr>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Long-</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Long-</w:t>
            </w:r>
          </w:p>
        </w:tc>
        <w:tc>
          <w:tcPr>
            <w:tcW w:w="100" w:type="dxa"/>
            <w:vAlign w:val="bottom"/>
          </w:tcPr>
          <w:p>
            <w:pPr>
              <w:spacing w:after="0"/>
              <w:rPr>
                <w:sz w:val="16"/>
                <w:szCs w:val="16"/>
                <w:color w:val="auto"/>
              </w:rPr>
            </w:pPr>
          </w:p>
        </w:tc>
      </w:tr>
      <w:tr>
        <w:trPr>
          <w:trHeight w:val="216"/>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Annual</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term</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term</w:t>
            </w:r>
          </w:p>
        </w:tc>
      </w:tr>
      <w:tr>
        <w:trPr>
          <w:trHeight w:val="216"/>
        </w:trPr>
        <w:tc>
          <w:tcPr>
            <w:tcW w:w="3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Bank and other</w:t>
            </w: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interest</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Long-</w:t>
            </w: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(current</w:t>
            </w: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Long-</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(current</w:t>
            </w:r>
          </w:p>
        </w:tc>
      </w:tr>
      <w:tr>
        <w:trPr>
          <w:trHeight w:val="245"/>
        </w:trPr>
        <w:tc>
          <w:tcPr>
            <w:tcW w:w="3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financial institution</w:t>
            </w: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Start</w:t>
            </w: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term</w:t>
            </w: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portion)</w:t>
            </w: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term</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portion)</w:t>
            </w:r>
          </w:p>
        </w:tc>
      </w:tr>
      <w:tr>
        <w:trPr>
          <w:trHeight w:val="216"/>
        </w:trPr>
        <w:tc>
          <w:tcPr>
            <w:tcW w:w="3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220" w:type="dxa"/>
            <w:vAlign w:val="bottom"/>
          </w:tcPr>
          <w:p>
            <w:pPr>
              <w:spacing w:after="0"/>
              <w:rPr>
                <w:sz w:val="18"/>
                <w:szCs w:val="18"/>
                <w:color w:val="auto"/>
              </w:rPr>
            </w:pPr>
          </w:p>
        </w:tc>
        <w:tc>
          <w:tcPr>
            <w:tcW w:w="66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USD</w:t>
            </w:r>
          </w:p>
        </w:tc>
        <w:tc>
          <w:tcPr>
            <w:tcW w:w="220" w:type="dxa"/>
            <w:vAlign w:val="bottom"/>
          </w:tcPr>
          <w:p>
            <w:pPr>
              <w:spacing w:after="0"/>
              <w:rPr>
                <w:sz w:val="18"/>
                <w:szCs w:val="18"/>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220" w:type="dxa"/>
            <w:vAlign w:val="bottom"/>
          </w:tcPr>
          <w:p>
            <w:pPr>
              <w:spacing w:after="0"/>
              <w:rPr>
                <w:sz w:val="18"/>
                <w:szCs w:val="18"/>
                <w:color w:val="auto"/>
              </w:rPr>
            </w:pPr>
          </w:p>
        </w:tc>
        <w:tc>
          <w:tcPr>
            <w:tcW w:w="66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USD</w:t>
            </w:r>
          </w:p>
        </w:tc>
        <w:tc>
          <w:tcPr>
            <w:tcW w:w="220" w:type="dxa"/>
            <w:vAlign w:val="bottom"/>
          </w:tcPr>
          <w:p>
            <w:pPr>
              <w:spacing w:after="0"/>
              <w:rPr>
                <w:sz w:val="18"/>
                <w:szCs w:val="18"/>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10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Maybank Singapore Limited</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1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July 2022</w:t>
            </w:r>
          </w:p>
        </w:tc>
        <w:tc>
          <w:tcPr>
            <w:tcW w:w="1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July 2027</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314,490</w:t>
            </w:r>
          </w:p>
        </w:tc>
        <w:tc>
          <w:tcPr>
            <w:tcW w:w="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69,326</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65,952</w:t>
            </w:r>
          </w:p>
        </w:tc>
        <w:tc>
          <w:tcPr>
            <w:tcW w:w="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95,624</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59,887</w:t>
            </w:r>
          </w:p>
        </w:tc>
      </w:tr>
    </w:tbl>
    <w:p>
      <w:pPr>
        <w:spacing w:after="0" w:line="198"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Interest expenses were $3,696 and $7,057 for six months ended June 30, 2025 and 2024, respectively. The borrowings above are guaranteed by the Group’s shareholder, Poh Kiong Tan.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Maturities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contractual maturities of the Group’s borrowings as of June 30, 2025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20" w:type="dxa"/>
            <w:vAlign w:val="bottom"/>
          </w:tcPr>
          <w:p>
            <w:pPr>
              <w:spacing w:after="0"/>
              <w:rPr>
                <w:sz w:val="21"/>
                <w:szCs w:val="21"/>
                <w:color w:val="auto"/>
              </w:rPr>
            </w:pPr>
          </w:p>
        </w:tc>
        <w:tc>
          <w:tcPr>
            <w:tcW w:w="6800" w:type="dxa"/>
            <w:vAlign w:val="bottom"/>
          </w:tcPr>
          <w:p>
            <w:pPr>
              <w:spacing w:after="0"/>
              <w:rPr>
                <w:sz w:val="21"/>
                <w:szCs w:val="21"/>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32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USD</w:t>
            </w:r>
          </w:p>
        </w:tc>
        <w:tc>
          <w:tcPr>
            <w:tcW w:w="10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8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65,952</w:t>
            </w:r>
          </w:p>
        </w:tc>
      </w:tr>
      <w:tr>
        <w:trPr>
          <w:trHeight w:val="237"/>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1 – 2 years</w:t>
            </w:r>
          </w:p>
        </w:tc>
        <w:tc>
          <w:tcPr>
            <w:tcW w:w="8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69,326</w:t>
            </w:r>
          </w:p>
        </w:tc>
      </w:tr>
      <w:tr>
        <w:trPr>
          <w:trHeight w:val="223"/>
        </w:trPr>
        <w:tc>
          <w:tcPr>
            <w:tcW w:w="3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8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135,278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2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322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gridSpan w:val="3"/>
          </w:tcPr>
          <w:p>
            <w:pPr>
              <w:ind w:left="2240"/>
              <w:spacing w:after="0"/>
              <w:rPr>
                <w:sz w:val="20"/>
                <w:szCs w:val="20"/>
                <w:color w:val="auto"/>
              </w:rPr>
            </w:pPr>
            <w:r>
              <w:rPr>
                <w:rFonts w:ascii="Times New Roman" w:cs="Times New Roman" w:eastAsia="Times New Roman" w:hAnsi="Times New Roman"/>
                <w:sz w:val="18"/>
                <w:szCs w:val="18"/>
                <w:color w:val="auto"/>
              </w:rPr>
              <w:t>F-18</w:t>
            </w:r>
          </w:p>
        </w:tc>
      </w:tr>
    </w:tbl>
    <w:p>
      <w:pPr>
        <w:sectPr>
          <w:pgSz w:w="11900" w:h="16838" w:orient="portrait"/>
          <w:cols w:equalWidth="0" w:num="1">
            <w:col w:w="11240"/>
          </w:cols>
          <w:pgMar w:left="320" w:top="873" w:right="339" w:bottom="1440" w:gutter="0" w:footer="0" w:header="0"/>
        </w:sectPr>
      </w:pPr>
    </w:p>
    <w:bookmarkStart w:id="22" w:name="page23"/>
    <w:bookmarkEnd w:id="22"/>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UNAUDITED CONDENSED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is a list of related parties which the Group has transactions with:</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380" w:type="dxa"/>
            <w:vAlign w:val="bottom"/>
            <w:gridSpan w:val="2"/>
          </w:tcPr>
          <w:p>
            <w:pPr>
              <w:ind w:left="1200"/>
              <w:spacing w:after="0"/>
              <w:rPr>
                <w:sz w:val="20"/>
                <w:szCs w:val="20"/>
                <w:color w:val="auto"/>
              </w:rPr>
            </w:pPr>
            <w:r>
              <w:rPr>
                <w:rFonts w:ascii="Times New Roman" w:cs="Times New Roman" w:eastAsia="Times New Roman" w:hAnsi="Times New Roman"/>
                <w:sz w:val="18"/>
                <w:szCs w:val="18"/>
                <w:b w:val="1"/>
                <w:bCs w:val="1"/>
                <w:color w:val="auto"/>
              </w:rPr>
              <w:t>Name of Related Parties</w:t>
            </w:r>
          </w:p>
        </w:tc>
        <w:tc>
          <w:tcPr>
            <w:tcW w:w="5180" w:type="dxa"/>
            <w:vAlign w:val="bottom"/>
            <w:gridSpan w:val="4"/>
          </w:tcPr>
          <w:p>
            <w:pPr>
              <w:ind w:left="2100"/>
              <w:spacing w:after="0"/>
              <w:rPr>
                <w:sz w:val="20"/>
                <w:szCs w:val="20"/>
                <w:color w:val="auto"/>
              </w:rPr>
            </w:pPr>
            <w:r>
              <w:rPr>
                <w:rFonts w:ascii="Times New Roman" w:cs="Times New Roman" w:eastAsia="Times New Roman" w:hAnsi="Times New Roman"/>
                <w:sz w:val="18"/>
                <w:szCs w:val="18"/>
                <w:b w:val="1"/>
                <w:bCs w:val="1"/>
                <w:color w:val="auto"/>
              </w:rPr>
              <w:t>Relationship with the Group</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Soon Huat Lim</w:t>
            </w:r>
          </w:p>
        </w:tc>
        <w:tc>
          <w:tcPr>
            <w:tcW w:w="100" w:type="dxa"/>
            <w:vAlign w:val="bottom"/>
            <w:tcBorders>
              <w:top w:val="single" w:sz="8" w:color="CCEEFF"/>
            </w:tcBorders>
            <w:shd w:val="clear" w:color="auto" w:fill="CCEEFF"/>
          </w:tcPr>
          <w:p>
            <w:pPr>
              <w:spacing w:after="0"/>
              <w:rPr>
                <w:sz w:val="18"/>
                <w:szCs w:val="18"/>
                <w:color w:val="auto"/>
              </w:rPr>
            </w:pPr>
          </w:p>
        </w:tc>
        <w:tc>
          <w:tcPr>
            <w:tcW w:w="5180" w:type="dxa"/>
            <w:vAlign w:val="bottom"/>
            <w:tcBorders>
              <w:top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Founder, Chairman of Board of Directors, Chief Executive Officer</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Poh Kiong Tan</w:t>
            </w: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Technology Officer and Director</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Trident Consultancy Pte. Ltd.</w:t>
            </w:r>
          </w:p>
        </w:tc>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100% equity interests owned by Soon Huat Lim</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Trident Foodtech Pte. Ltd.</w:t>
            </w: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 equity interests owned by Soon Huat Lim</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Apollo Entertainment Media Pte. Ltd.</w:t>
            </w:r>
          </w:p>
        </w:tc>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30% equity interests owned by Soon Huat Lim</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Cong Ty Tnhh Trident Digital Tech</w:t>
            </w: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 equity interests owned by Poh Kiong Tan</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8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Amounts due to related parties</w:t>
            </w:r>
          </w:p>
        </w:tc>
        <w:tc>
          <w:tcPr>
            <w:tcW w:w="3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00" w:type="dxa"/>
            <w:vAlign w:val="bottom"/>
          </w:tcPr>
          <w:p>
            <w:pPr>
              <w:spacing w:after="0"/>
              <w:rPr>
                <w:sz w:val="24"/>
                <w:szCs w:val="24"/>
                <w:color w:val="auto"/>
              </w:rPr>
            </w:pPr>
          </w:p>
        </w:tc>
        <w:tc>
          <w:tcPr>
            <w:tcW w:w="854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Amounts due to related parties consisted of the following for the periods indicated:</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20" w:type="dxa"/>
            <w:vAlign w:val="bottom"/>
          </w:tcPr>
          <w:p>
            <w:pPr>
              <w:spacing w:after="0"/>
              <w:rPr>
                <w:sz w:val="24"/>
                <w:szCs w:val="24"/>
                <w:color w:val="auto"/>
              </w:rPr>
            </w:pPr>
          </w:p>
        </w:tc>
        <w:tc>
          <w:tcPr>
            <w:tcW w:w="10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45"/>
        </w:trPr>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23"/>
        </w:trPr>
        <w:tc>
          <w:tcPr>
            <w:tcW w:w="3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4840" w:type="dxa"/>
            <w:vAlign w:val="bottom"/>
            <w:gridSpan w:val="5"/>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Cong Ty Tnhh Trident Digital Tech </w:t>
            </w:r>
            <w:r>
              <w:rPr>
                <w:rFonts w:ascii="Times New Roman" w:cs="Times New Roman" w:eastAsia="Times New Roman" w:hAnsi="Times New Roman"/>
                <w:sz w:val="29"/>
                <w:szCs w:val="29"/>
                <w:color w:val="auto"/>
                <w:vertAlign w:val="superscript"/>
              </w:rPr>
              <w:t>(1)</w:t>
            </w:r>
          </w:p>
        </w:tc>
        <w:tc>
          <w:tcPr>
            <w:tcW w:w="4000" w:type="dxa"/>
            <w:vAlign w:val="bottom"/>
            <w:gridSpan w:val="2"/>
            <w:shd w:val="clear" w:color="auto" w:fill="CCEEFF"/>
          </w:tcPr>
          <w:p>
            <w:pPr>
              <w:ind w:left="38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44,909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4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44,909</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           -</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8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Amounts due to related parties, non-current</w:t>
            </w:r>
          </w:p>
        </w:tc>
        <w:tc>
          <w:tcPr>
            <w:tcW w:w="3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4840" w:type="dxa"/>
            <w:vAlign w:val="bottom"/>
            <w:gridSpan w:val="5"/>
            <w:vMerge w:val="continue"/>
          </w:tcPr>
          <w:p>
            <w:pPr>
              <w:spacing w:after="0"/>
              <w:rPr>
                <w:sz w:val="24"/>
                <w:szCs w:val="24"/>
                <w:color w:val="auto"/>
              </w:rPr>
            </w:pPr>
          </w:p>
        </w:tc>
        <w:tc>
          <w:tcPr>
            <w:tcW w:w="3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00" w:type="dxa"/>
            <w:vAlign w:val="bottom"/>
          </w:tcPr>
          <w:p>
            <w:pPr>
              <w:spacing w:after="0"/>
              <w:rPr>
                <w:sz w:val="24"/>
                <w:szCs w:val="24"/>
                <w:color w:val="auto"/>
              </w:rPr>
            </w:pPr>
          </w:p>
        </w:tc>
        <w:tc>
          <w:tcPr>
            <w:tcW w:w="854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Amounts due to related parties consisted of the following for the periods indicated:</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45"/>
        </w:trPr>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As of June 30,</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23"/>
        </w:trPr>
        <w:tc>
          <w:tcPr>
            <w:tcW w:w="3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40" w:type="dxa"/>
            <w:vAlign w:val="bottom"/>
            <w:gridSpan w:val="5"/>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 xml:space="preserve">Soon Huat Lim </w:t>
            </w:r>
            <w:r>
              <w:rPr>
                <w:rFonts w:ascii="Times New Roman" w:cs="Times New Roman" w:eastAsia="Times New Roman" w:hAnsi="Times New Roman"/>
                <w:sz w:val="28"/>
                <w:szCs w:val="28"/>
                <w:color w:val="auto"/>
                <w:vertAlign w:val="superscript"/>
              </w:rPr>
              <w:t>(2)</w:t>
            </w:r>
          </w:p>
        </w:tc>
        <w:tc>
          <w:tcPr>
            <w:tcW w:w="38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5,695,401</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1,213,612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40" w:type="dxa"/>
            <w:vAlign w:val="bottom"/>
            <w:gridSpan w:val="5"/>
          </w:tcPr>
          <w:p>
            <w:pPr>
              <w:spacing w:after="0" w:line="256" w:lineRule="exact"/>
              <w:rPr>
                <w:sz w:val="20"/>
                <w:szCs w:val="20"/>
                <w:color w:val="auto"/>
              </w:rPr>
            </w:pPr>
            <w:r>
              <w:rPr>
                <w:rFonts w:ascii="Times New Roman" w:cs="Times New Roman" w:eastAsia="Times New Roman" w:hAnsi="Times New Roman"/>
                <w:sz w:val="18"/>
                <w:szCs w:val="18"/>
                <w:color w:val="auto"/>
              </w:rPr>
              <w:t xml:space="preserve">Poh Kiong Tan </w:t>
            </w:r>
            <w:r>
              <w:rPr>
                <w:rFonts w:ascii="Times New Roman" w:cs="Times New Roman" w:eastAsia="Times New Roman" w:hAnsi="Times New Roman"/>
                <w:sz w:val="29"/>
                <w:szCs w:val="29"/>
                <w:color w:val="auto"/>
                <w:vertAlign w:val="superscript"/>
              </w:rPr>
              <w:t>(3)</w:t>
            </w:r>
          </w:p>
        </w:tc>
        <w:tc>
          <w:tcPr>
            <w:tcW w:w="3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126,893</w:t>
            </w:r>
          </w:p>
        </w:tc>
        <w:tc>
          <w:tcPr>
            <w:tcW w:w="220" w:type="dxa"/>
            <w:vAlign w:val="bottom"/>
          </w:tcPr>
          <w:p>
            <w:pPr>
              <w:spacing w:after="0"/>
              <w:rPr>
                <w:sz w:val="22"/>
                <w:szCs w:val="22"/>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90,495</w:t>
            </w:r>
          </w:p>
        </w:tc>
        <w:tc>
          <w:tcPr>
            <w:tcW w:w="0" w:type="dxa"/>
            <w:vAlign w:val="bottom"/>
          </w:tcPr>
          <w:p>
            <w:pPr>
              <w:spacing w:after="0"/>
              <w:rPr>
                <w:sz w:val="1"/>
                <w:szCs w:val="1"/>
                <w:color w:val="auto"/>
              </w:rPr>
            </w:pPr>
          </w:p>
        </w:tc>
      </w:tr>
      <w:tr>
        <w:trPr>
          <w:trHeight w:val="290"/>
        </w:trPr>
        <w:tc>
          <w:tcPr>
            <w:tcW w:w="4840" w:type="dxa"/>
            <w:vAlign w:val="bottom"/>
            <w:gridSpan w:val="5"/>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 xml:space="preserve">Cong Ty Tnhh Trident Digital Tech </w:t>
            </w:r>
            <w:r>
              <w:rPr>
                <w:rFonts w:ascii="Times New Roman" w:cs="Times New Roman" w:eastAsia="Times New Roman" w:hAnsi="Times New Roman"/>
                <w:sz w:val="29"/>
                <w:szCs w:val="29"/>
                <w:color w:val="auto"/>
                <w:vertAlign w:val="superscript"/>
              </w:rPr>
              <w:t>(1)</w:t>
            </w:r>
          </w:p>
        </w:tc>
        <w:tc>
          <w:tcPr>
            <w:tcW w:w="4000" w:type="dxa"/>
            <w:vAlign w:val="bottom"/>
            <w:gridSpan w:val="2"/>
            <w:shd w:val="clear" w:color="auto" w:fill="CCEEFF"/>
          </w:tcPr>
          <w:p>
            <w:pPr>
              <w:ind w:left="38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41,118</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4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5,822,294</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1,345,225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represented service payable to this related party, and the maturity date was June 30, 2026.</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represented loan from this related party for the Group’s daily operation at nil interest rate and a maturity date of December 31, 2026.</w:t>
      </w:r>
    </w:p>
    <w:p>
      <w:pPr>
        <w:spacing w:after="0" w:line="9" w:lineRule="exact"/>
        <w:rPr>
          <w:rFonts w:ascii="Times New Roman" w:cs="Times New Roman" w:eastAsia="Times New Roman" w:hAnsi="Times New Roman"/>
          <w:sz w:val="18"/>
          <w:szCs w:val="18"/>
          <w:color w:val="auto"/>
        </w:rPr>
      </w:pPr>
    </w:p>
    <w:p>
      <w:pPr>
        <w:ind w:left="340" w:right="360" w:hanging="332"/>
        <w:spacing w:after="0" w:line="260"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represented loan from this related party for the Group’s daily operation at nil interest, and expense paid on behalf of the Group, with a maturity date of December 31, 2026.</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 w:name="page24"/>
    <w:bookmarkEnd w:id="23"/>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UNAUDITED CONDENSED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RELATED PARTY TRANSACTIONS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parties transactions</w:t>
      </w:r>
    </w:p>
    <w:p>
      <w:pPr>
        <w:spacing w:after="0" w:line="225"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six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6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194"/>
        </w:trPr>
        <w:tc>
          <w:tcPr>
            <w:tcW w:w="49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Nature:</w:t>
            </w:r>
          </w:p>
        </w:tc>
        <w:tc>
          <w:tcPr>
            <w:tcW w:w="3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Poh Kiong Tan</w:t>
            </w:r>
          </w:p>
        </w:tc>
        <w:tc>
          <w:tcPr>
            <w:tcW w:w="3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from related parties</w:t>
            </w:r>
          </w:p>
        </w:tc>
        <w:tc>
          <w:tcPr>
            <w:tcW w:w="3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22,663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44,527</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loan from related party</w:t>
            </w:r>
          </w:p>
        </w:tc>
        <w:tc>
          <w:tcPr>
            <w:tcW w:w="3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6,043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29,685</w:t>
            </w:r>
          </w:p>
        </w:tc>
      </w:tr>
      <w:tr>
        <w:trPr>
          <w:trHeight w:val="216"/>
        </w:trPr>
        <w:tc>
          <w:tcPr>
            <w:tcW w:w="496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Soon Huat Lim</w:t>
            </w:r>
          </w:p>
        </w:tc>
        <w:tc>
          <w:tcPr>
            <w:tcW w:w="3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from related party</w:t>
            </w:r>
          </w:p>
        </w:tc>
        <w:tc>
          <w:tcPr>
            <w:tcW w:w="3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4,215,265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1,417,450</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loan from related party</w:t>
            </w:r>
          </w:p>
        </w:tc>
        <w:tc>
          <w:tcPr>
            <w:tcW w:w="3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4,559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44,527</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loan to related party</w:t>
            </w:r>
          </w:p>
        </w:tc>
        <w:tc>
          <w:tcPr>
            <w:tcW w:w="3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244,770</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expenses paid on behalf of the Group</w:t>
            </w:r>
          </w:p>
        </w:tc>
        <w:tc>
          <w:tcPr>
            <w:tcW w:w="3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16,089</w:t>
            </w:r>
          </w:p>
        </w:tc>
      </w:tr>
      <w:tr>
        <w:trPr>
          <w:trHeight w:val="216"/>
        </w:trPr>
        <w:tc>
          <w:tcPr>
            <w:tcW w:w="496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Apollo Entertainment Media Pte. Ltd.</w:t>
            </w:r>
          </w:p>
        </w:tc>
        <w:tc>
          <w:tcPr>
            <w:tcW w:w="3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Consumption of tickets and hot chocolate</w:t>
            </w:r>
          </w:p>
        </w:tc>
        <w:tc>
          <w:tcPr>
            <w:tcW w:w="3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2,846</w:t>
            </w:r>
          </w:p>
        </w:tc>
      </w:tr>
      <w:tr>
        <w:trPr>
          <w:trHeight w:val="216"/>
        </w:trPr>
        <w:tc>
          <w:tcPr>
            <w:tcW w:w="49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Trident Foodtech Pte. Ltd.</w:t>
            </w:r>
          </w:p>
        </w:tc>
        <w:tc>
          <w:tcPr>
            <w:tcW w:w="3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Rental expense paid to related party</w:t>
            </w:r>
          </w:p>
        </w:tc>
        <w:tc>
          <w:tcPr>
            <w:tcW w:w="3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22,264</w:t>
            </w:r>
          </w:p>
        </w:tc>
      </w:tr>
      <w:tr>
        <w:trPr>
          <w:trHeight w:val="216"/>
        </w:trPr>
        <w:tc>
          <w:tcPr>
            <w:tcW w:w="496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Cong Ty Tnhh Trident Digital Tech</w:t>
            </w:r>
          </w:p>
        </w:tc>
        <w:tc>
          <w:tcPr>
            <w:tcW w:w="3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services provided to the Company</w:t>
            </w:r>
          </w:p>
        </w:tc>
        <w:tc>
          <w:tcPr>
            <w:tcW w:w="3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200,055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Maintenance services provided to the Company</w:t>
            </w:r>
          </w:p>
        </w:tc>
        <w:tc>
          <w:tcPr>
            <w:tcW w:w="3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66,012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637"/>
        </w:trPr>
        <w:tc>
          <w:tcPr>
            <w:tcW w:w="496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2"/>
          </w:tcPr>
          <w:p>
            <w:pPr>
              <w:jc w:val="right"/>
              <w:ind w:right="3120"/>
              <w:spacing w:after="0"/>
              <w:rPr>
                <w:sz w:val="20"/>
                <w:szCs w:val="20"/>
                <w:color w:val="auto"/>
              </w:rPr>
            </w:pPr>
            <w:r>
              <w:rPr>
                <w:rFonts w:ascii="Times New Roman" w:cs="Times New Roman" w:eastAsia="Times New Roman" w:hAnsi="Times New Roman"/>
                <w:sz w:val="18"/>
                <w:szCs w:val="18"/>
                <w:color w:val="auto"/>
              </w:rPr>
              <w:t>F-20</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24" w:name="page25"/>
    <w:bookmarkEnd w:id="24"/>
    <w:p>
      <w:pPr>
        <w:jc w:val="center"/>
        <w:ind w:left="380" w:right="20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UNAUDITED CONDENSED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NON-EMPLOYEE SHARE-BASED COMPENSATION</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On December 31, 2024, the Company’s extraordinary general meeting passed an ordinary resolution that the number of shares available for awards under the Company’s Amended and Restated 2023 Equity Incentive Plan be increased from 55,000,000 to 137,500,000.</w:t>
      </w:r>
    </w:p>
    <w:p>
      <w:pPr>
        <w:spacing w:after="0" w:line="162" w:lineRule="exact"/>
        <w:rPr>
          <w:sz w:val="20"/>
          <w:szCs w:val="20"/>
          <w:color w:val="auto"/>
        </w:rPr>
      </w:pPr>
    </w:p>
    <w:p>
      <w:pPr>
        <w:ind w:firstLine="324"/>
        <w:spacing w:after="0" w:line="277" w:lineRule="auto"/>
        <w:rPr>
          <w:sz w:val="20"/>
          <w:szCs w:val="20"/>
          <w:color w:val="auto"/>
        </w:rPr>
      </w:pPr>
      <w:r>
        <w:rPr>
          <w:rFonts w:ascii="Times New Roman" w:cs="Times New Roman" w:eastAsia="Times New Roman" w:hAnsi="Times New Roman"/>
          <w:sz w:val="17"/>
          <w:szCs w:val="17"/>
          <w:color w:val="auto"/>
        </w:rPr>
        <w:t>On January 1, 2025, the Company entered into consulting agreements with five external consultants, who will provide services mainly including capital market strategy guidance, financing advisory, operational and logistics management, implementation and maintenance of International Organization for Standardization (“ISO”), data protection, and general business consulting, with a 24-month service term. Pursuant to the service agreement, the Group was required to issue 99,000,000 Class B Ordinary Shares for their service. The fair value of the services was determined to be US$27,348,750 based on the Company’s ADS market price on January 2, 2025. The Company issued 99,000,000 Class B Ordinary Shares on January 2, 2025.</w:t>
      </w:r>
    </w:p>
    <w:p>
      <w:pPr>
        <w:spacing w:after="0" w:line="168"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On May 27, 2025, the Company entered into consulting agreements with two external consultants, who will provide services mainly including capital market strategy guidance, financing advisory, safety regulations and recommendation of protective equipment on company/business events, incident management, and general business consulting, with a 24-month service term or 12-month service term. Pursuant to the service agreement, the Group was required to issue 38,500,000 Class B Ordinary Shares for their service. The fair value of the services was determined to be US$1,361,938 based on the Company’s ADS market price on May 27, 2025. The Company issued 38,500,000 Class B Ordinary Shares on May 27, 2025.</w:t>
      </w:r>
    </w:p>
    <w:p>
      <w:pPr>
        <w:spacing w:after="0" w:line="183"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Pursuant to ASC 718, the aggregate 137,500,000 Class B ordinary shares granted as consulting compensation represent equity-settled share-based payments to non-employees. The Company will measure the fair value of the shares on the grant date and recognize this amount as consulting expenses ratably over the 24-month or 12-month service period.</w:t>
      </w:r>
    </w:p>
    <w:p>
      <w:pPr>
        <w:spacing w:after="0" w:line="176"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Share-based compensation expenses of US$6,856,485 were recognized for the six months ended June 30, 2025, all of which were allocated to general and administrative expenses. As of June 30, 2025, the unrecognized compensation expenses was US$21,854,203.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ORDINARY SHARES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Company was established as an exempted company under the laws of Cayman Islands on June 12, 2023. The authorized number of Ordinary Shares was 5,000,000,000 with par value of $0.00001 per share, of which, 1,000,000,000 are designated as Class A Ordinary Shares and 4,000,000,000 are designated as Class B Ordinary Shares. The Company issued 653,864,286 and 516,364,286 shares to the shareholders at par value $0.00001 per share, among which, 50,000,000 and 50,000,000 Class A ordinary shares, 603,864,286 and 466,364,286 Class B ordinary shares issued and outstanding as of June 30, 2025 and December 31, 2024, respectively. For the 410,205,000 shares issued before reorganization, the Company has retroactively restated those shares and per share data for all periods presented.</w:t>
      </w:r>
    </w:p>
    <w:p>
      <w:pPr>
        <w:spacing w:after="0" w:line="187"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Holders of Class A Ordinary Shares and Class B Ordinary Shares have the same rights except for voting and conversion rights. In respect of matters requiring a shareholder vote, each holder of Class A Ordinary Shares will be entitled to sixty votes per one Class A Ordinary Share and each holder of Class B Ordinary Shares will be entitled to one vote per one Class B Ordinary Share. Each Class A Ordinary Share shall be convertible into one fully paid and non-assessable Class B Ordinary Share at the option of the Class A Holder at any time upon written notice to the transfer agent of the Company. In no event shall Class B Ordinary Shares be convertible into Class A Ordinary Shares.</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25" w:name="page26"/>
    <w:bookmarkEnd w:id="25"/>
    <w:p>
      <w:pPr>
        <w:jc w:val="center"/>
        <w:ind w:left="360" w:right="20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UNAUDITED CONDENSED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13. ORDINARY SHARES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On October 31 and November 1, 2022, the Group and Soon Huat Lim entered into a series of share sale agreement and supplemental agreements with Soon Tai Lee, a third-party investor. Pursuant to the agreements, the Company issued 45,000,000 Class B Ordinary Shares of the Company to Soon Tai Lee in exchange of $3,000,000 cash consideration and Soon Huat Lim sold his 30,000,000 Class B Ordinary Shares of the Company to Soon Tai Lee in exchange of $2,000,000 cash consideration. The Group collected the consideration on January 26, 2023.</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On May 4 and May 5, 2023, the Group and Soon Huat Lim entered into a series of share sale agreement and supplemental agreements with Yat Hong Lo, a third-party investor. Pursuant to the agreements, the Company issued 20,000,000 Class B Ordinary Shares of the Company to Yat Hong Lo in exchange of $4,000,000 cash consideration and Soon Huat Lim sold his 5,000,000 Class B Ordinary Shares of the Company to Yat Hong Lo in exchange of $1,000,000 cash consideration. The Group collected all the consideration on June 8, 2023.</w:t>
      </w:r>
    </w:p>
    <w:p>
      <w:pPr>
        <w:spacing w:after="0" w:line="180"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On September 29, 2023, the Group entered into a share subscription agreement with Broad Fund Management Limited, a third-party investor. Pursuant to the agreement, the Company issued 892,857 Class B Ordinary Shares of the Company to Broad Fund Management Limited in exchange of $500,000 cash consideration. The Group collected all the consideration on October 6, 2023.</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September 29, 2023, the Group and Soon Huat Lim entered into a share subscription and purchase agreement with Choon How Liew, Vijai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Dharamdas Parwani, and Wong Yee Fune, respectively, who are third-party investors. Pursuant to the agreement, the Company issued 446,429, 357,143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267,857 Class B Ordinary Shares to Choon How Liew, Vijai Dharamdas Parwani, and Wong Yee Fune in exchange of $250,000, $200,000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$150,000 cash consideration, respectively; and Soon Huat Lim sold his 446,429, 357,143 and 267,857 Class B Ordinary Shares to Choon How Liew, Vijai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Dharamdas Parwani, and Wong Yee Fune in exchange of $250,000, $200,000 and $150,000 cash consideration. The Group collected all the consideration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before December 21, 2023.</w:t>
      </w:r>
    </w:p>
    <w:p>
      <w:pPr>
        <w:spacing w:after="0" w:line="207"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After the above transactions, Soon Tai Lee, Yat Hong Lo, Choon How Liew, Broad Fund Management Limited, Vijai Dharamdas Parwani, and Wong Yee Fune became shareholders of the Group, and Soon Huat Lim still remain as ultimate controller of the Group.</w:t>
      </w:r>
    </w:p>
    <w:p>
      <w:pPr>
        <w:spacing w:after="0" w:line="162"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On September 11, 2024, the Group completed its initial public offering of 1,800,000 American Depositary Shares (“ADSs”) at a price to the public of US$5.00 per ADS, representing 14,400,000 Class B ordinary share for a total offering size of US$9.0 million. The net proceeds raised from the initial public offering were approximately US$5.6 million.</w:t>
      </w:r>
    </w:p>
    <w:p>
      <w:pPr>
        <w:spacing w:after="0" w:line="17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On January 2, 2025, and May 27, 2025, the Company entered into consulting agreements with several external consultants, who will provide services including capital market strategy guidance, financing advisory, and general business consulting over a 12- or 24-month period. As compensation, the Company granted and issued an aggregate of 137,500,000 Class B ordinary shares to the consultants. Details of the share-based compensation refer to Note 12</w:t>
      </w:r>
    </w:p>
    <w:p>
      <w:pPr>
        <w:spacing w:after="0" w:line="180"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As of June 30, 2025, 50,000,000 Class A ordinary shares had been issued and outstanding, and 603,864,286 Class B ordinary shares had been issued and outstanding.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26" w:name="page27"/>
    <w:bookmarkEnd w:id="26"/>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UNAUDITED CONDENSED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CONCENTRATION</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expose the Group to concentrations of credit risk consist primarily of accounts receivable. The Group conducts credit evaluations of its customers, and generally does not require collateral or other security from them. The Group evaluates its collection experience and long outstanding balances to determine the need for an allowance for doubtful accounts. The Group conducts periodic reviews of the financial condition and payment practices of its customers to minimize collection risk on accounts receivable.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a summary of single customers who represented 10% or more of the Group’s total revenue.</w:t>
      </w:r>
    </w:p>
    <w:p>
      <w:pPr>
        <w:spacing w:after="0" w:line="221"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8"/>
          <w:szCs w:val="18"/>
          <w:b w:val="1"/>
          <w:bCs w:val="1"/>
          <w:color w:val="auto"/>
        </w:rPr>
        <w:t>For the six months ended</w:t>
      </w:r>
    </w:p>
    <w:p>
      <w:pPr>
        <w:spacing w:after="0" w:line="31"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54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the Group’s total revenue</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47%</w:t>
            </w:r>
          </w:p>
        </w:tc>
        <w:tc>
          <w:tcPr>
            <w:tcW w:w="13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39%</w:t>
            </w: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9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5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r>
      <w:tr>
        <w:trPr>
          <w:trHeight w:val="210"/>
        </w:trPr>
        <w:tc>
          <w:tcPr>
            <w:tcW w:w="85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ind w:left="80"/>
              <w:spacing w:after="0" w:line="203" w:lineRule="exact"/>
              <w:rPr>
                <w:sz w:val="20"/>
                <w:szCs w:val="20"/>
                <w:color w:val="auto"/>
              </w:rPr>
            </w:pPr>
            <w:r>
              <w:rPr>
                <w:rFonts w:ascii="Times New Roman" w:cs="Times New Roman" w:eastAsia="Times New Roman" w:hAnsi="Times New Roman"/>
                <w:sz w:val="18"/>
                <w:szCs w:val="18"/>
                <w:b w:val="1"/>
                <w:bCs w:val="1"/>
                <w:color w:val="auto"/>
                <w:w w:val="88"/>
              </w:rPr>
              <w:t>86</w:t>
            </w:r>
          </w:p>
        </w:tc>
        <w:tc>
          <w:tcPr>
            <w:tcW w:w="300" w:type="dxa"/>
            <w:vAlign w:val="bottom"/>
            <w:tcBorders>
              <w:top w:val="single" w:sz="8" w:color="CCEEFF"/>
            </w:tcBorders>
          </w:tcPr>
          <w:p>
            <w:pPr>
              <w:jc w:val="right"/>
              <w:ind w:right="3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29</w:t>
            </w:r>
          </w:p>
        </w:tc>
        <w:tc>
          <w:tcPr>
            <w:tcW w:w="180" w:type="dxa"/>
            <w:vAlign w:val="bottom"/>
            <w:tcBorders>
              <w:top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r>
      <w:tr>
        <w:trPr>
          <w:trHeight w:val="20"/>
        </w:trPr>
        <w:tc>
          <w:tcPr>
            <w:tcW w:w="85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220"/>
        <w:spacing w:after="0"/>
        <w:tabs>
          <w:tab w:leader="none" w:pos="520" w:val="left"/>
        </w:tabs>
        <w:rPr>
          <w:sz w:val="20"/>
          <w:szCs w:val="20"/>
          <w:color w:val="auto"/>
        </w:rPr>
      </w:pPr>
      <w:r>
        <w:rPr>
          <w:rFonts w:ascii="Times New Roman" w:cs="Times New Roman" w:eastAsia="Times New Roman" w:hAnsi="Times New Roman"/>
          <w:sz w:val="18"/>
          <w:szCs w:val="18"/>
          <w:color w:val="auto"/>
        </w:rPr>
        <w:t>*</w:t>
        <w:tab/>
        <w:t>Represent percentage less than 10%</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a summary of single customers who represented 10% or more of the Group’s total accounts receivable: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40" w:type="dxa"/>
            <w:vAlign w:val="bottom"/>
          </w:tcPr>
          <w:p>
            <w:pPr>
              <w:spacing w:after="0"/>
              <w:rPr>
                <w:sz w:val="18"/>
                <w:szCs w:val="18"/>
                <w:color w:val="auto"/>
              </w:rPr>
            </w:pPr>
          </w:p>
        </w:tc>
        <w:tc>
          <w:tcPr>
            <w:tcW w:w="140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3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8540" w:type="dxa"/>
            <w:vAlign w:val="bottom"/>
          </w:tcPr>
          <w:p>
            <w:pPr>
              <w:spacing w:after="0"/>
              <w:rPr>
                <w:sz w:val="20"/>
                <w:szCs w:val="20"/>
                <w:color w:val="auto"/>
              </w:rPr>
            </w:pPr>
          </w:p>
        </w:tc>
        <w:tc>
          <w:tcPr>
            <w:tcW w:w="140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3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63"/>
        </w:trPr>
        <w:tc>
          <w:tcPr>
            <w:tcW w:w="8540" w:type="dxa"/>
            <w:vAlign w:val="bottom"/>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0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the Group’s accounts receivable</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0"/>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w:t>
            </w:r>
          </w:p>
        </w:tc>
        <w:tc>
          <w:tcPr>
            <w:tcW w:w="14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100%</w:t>
            </w:r>
          </w:p>
        </w:tc>
        <w:tc>
          <w:tcPr>
            <w:tcW w:w="130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100%</w:t>
            </w:r>
          </w:p>
        </w:tc>
      </w:tr>
      <w:tr>
        <w:trPr>
          <w:trHeight w:val="210"/>
        </w:trPr>
        <w:tc>
          <w:tcPr>
            <w:tcW w:w="85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Borders>
              <w:top w:val="single" w:sz="8" w:color="auto"/>
            </w:tcBorders>
          </w:tcPr>
          <w:p>
            <w:pPr>
              <w:ind w:left="840"/>
              <w:spacing w:after="0" w:line="203" w:lineRule="exact"/>
              <w:rPr>
                <w:sz w:val="20"/>
                <w:szCs w:val="20"/>
                <w:color w:val="auto"/>
              </w:rPr>
            </w:pPr>
            <w:r>
              <w:rPr>
                <w:rFonts w:ascii="Times New Roman" w:cs="Times New Roman" w:eastAsia="Times New Roman" w:hAnsi="Times New Roman"/>
                <w:sz w:val="18"/>
                <w:szCs w:val="18"/>
                <w:b w:val="1"/>
                <w:bCs w:val="1"/>
                <w:color w:val="auto"/>
                <w:w w:val="88"/>
              </w:rPr>
              <w:t>100</w:t>
            </w:r>
          </w:p>
        </w:tc>
        <w:tc>
          <w:tcPr>
            <w:tcW w:w="300" w:type="dxa"/>
            <w:vAlign w:val="bottom"/>
            <w:tcBorders>
              <w:top w:val="single" w:sz="8" w:color="CCEEFF"/>
            </w:tcBorders>
          </w:tcPr>
          <w:p>
            <w:pPr>
              <w:jc w:val="right"/>
              <w:ind w:right="3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tcPr>
          <w:p>
            <w:pPr>
              <w:ind w:left="840"/>
              <w:spacing w:after="0" w:line="203" w:lineRule="exact"/>
              <w:rPr>
                <w:sz w:val="20"/>
                <w:szCs w:val="20"/>
                <w:color w:val="auto"/>
              </w:rPr>
            </w:pPr>
            <w:r>
              <w:rPr>
                <w:rFonts w:ascii="Times New Roman" w:cs="Times New Roman" w:eastAsia="Times New Roman" w:hAnsi="Times New Roman"/>
                <w:sz w:val="18"/>
                <w:szCs w:val="18"/>
                <w:b w:val="1"/>
                <w:bCs w:val="1"/>
                <w:color w:val="auto"/>
                <w:w w:val="96"/>
              </w:rPr>
              <w:t>100</w:t>
            </w:r>
          </w:p>
        </w:tc>
        <w:tc>
          <w:tcPr>
            <w:tcW w:w="180" w:type="dxa"/>
            <w:vAlign w:val="bottom"/>
            <w:tcBorders>
              <w:top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r>
      <w:tr>
        <w:trPr>
          <w:trHeight w:val="20"/>
        </w:trPr>
        <w:tc>
          <w:tcPr>
            <w:tcW w:w="85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a summary of single suppliers who represented 10% or more of the Group’s total purchase.</w:t>
      </w:r>
    </w:p>
    <w:p>
      <w:pPr>
        <w:spacing w:after="0" w:line="221"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8"/>
          <w:szCs w:val="18"/>
          <w:b w:val="1"/>
          <w:bCs w:val="1"/>
          <w:color w:val="auto"/>
        </w:rPr>
        <w:t>For the six months ended</w:t>
      </w:r>
    </w:p>
    <w:p>
      <w:pPr>
        <w:spacing w:after="0" w:line="31"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5715</wp:posOffset>
            </wp:positionV>
            <wp:extent cx="159448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94485"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Percentage of the Group’s total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Supplier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Supplier B</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19685</wp:posOffset>
            </wp:positionV>
            <wp:extent cx="159448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94485" cy="17145"/>
                    </a:xfrm>
                    <a:prstGeom prst="rect">
                      <a:avLst/>
                    </a:prstGeom>
                    <a:noFill/>
                  </pic:spPr>
                </pic:pic>
              </a:graphicData>
            </a:graphic>
          </wp:anchor>
        </w:drawing>
      </w:r>
    </w:p>
    <w:p>
      <w:pPr>
        <w:spacing w:after="0" w:line="236" w:lineRule="exact"/>
        <w:rPr>
          <w:sz w:val="20"/>
          <w:szCs w:val="20"/>
          <w:color w:val="auto"/>
        </w:rPr>
      </w:pPr>
    </w:p>
    <w:p>
      <w:pPr>
        <w:ind w:left="540"/>
        <w:spacing w:after="0"/>
        <w:tabs>
          <w:tab w:leader="none" w:pos="202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960" w:hanging="1323"/>
        <w:spacing w:after="0"/>
        <w:tabs>
          <w:tab w:leader="none" w:pos="1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w:t>
      </w:r>
    </w:p>
    <w:p>
      <w:pPr>
        <w:spacing w:after="0" w:line="22"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25%96%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48895</wp:posOffset>
            </wp:positionV>
            <wp:extent cx="159448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9448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00" w:space="720"/>
            <w:col w:w="2320"/>
          </w:cols>
          <w:pgMar w:left="320" w:top="873" w:right="339" w:bottom="1440" w:gutter="0" w:footer="0" w:header="0"/>
          <w:type w:val="continuous"/>
        </w:sectPr>
      </w:pPr>
    </w:p>
    <w:p>
      <w:pPr>
        <w:spacing w:after="0" w:line="101" w:lineRule="exact"/>
        <w:rPr>
          <w:sz w:val="20"/>
          <w:szCs w:val="20"/>
          <w:color w:val="auto"/>
        </w:rPr>
      </w:pPr>
    </w:p>
    <w:p>
      <w:pPr>
        <w:ind w:left="540" w:hanging="316"/>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 percentage less than 10%</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a summary of single suppliers who represented 10% or more of the Group’s total accounts payable.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40" w:type="dxa"/>
            <w:vAlign w:val="bottom"/>
          </w:tcPr>
          <w:p>
            <w:pPr>
              <w:spacing w:after="0"/>
              <w:rPr>
                <w:sz w:val="18"/>
                <w:szCs w:val="18"/>
                <w:color w:val="auto"/>
              </w:rPr>
            </w:pPr>
          </w:p>
        </w:tc>
        <w:tc>
          <w:tcPr>
            <w:tcW w:w="90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8540" w:type="dxa"/>
            <w:vAlign w:val="bottom"/>
          </w:tcPr>
          <w:p>
            <w:pPr>
              <w:spacing w:after="0"/>
              <w:rPr>
                <w:sz w:val="20"/>
                <w:szCs w:val="20"/>
                <w:color w:val="auto"/>
              </w:rPr>
            </w:pPr>
          </w:p>
        </w:tc>
        <w:tc>
          <w:tcPr>
            <w:tcW w:w="90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64"/>
        </w:trPr>
        <w:tc>
          <w:tcPr>
            <w:tcW w:w="9440" w:type="dxa"/>
            <w:vAlign w:val="bottom"/>
            <w:gridSpan w:val="2"/>
          </w:tcPr>
          <w:p>
            <w:pPr>
              <w:jc w:val="center"/>
              <w:ind w:left="86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tcPr>
          <w:p>
            <w:pPr>
              <w:spacing w:after="0"/>
              <w:rPr>
                <w:sz w:val="22"/>
                <w:szCs w:val="22"/>
                <w:color w:val="auto"/>
              </w:rPr>
            </w:pP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the Group’s accounts payable</w:t>
            </w: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9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Supplier C</w:t>
            </w:r>
          </w:p>
        </w:tc>
        <w:tc>
          <w:tcPr>
            <w:tcW w:w="5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w:t>
            </w: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Supplier B</w:t>
            </w:r>
          </w:p>
        </w:tc>
        <w:tc>
          <w:tcPr>
            <w:tcW w:w="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32%</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9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Supplier D</w:t>
            </w:r>
          </w:p>
        </w:tc>
        <w:tc>
          <w:tcPr>
            <w:tcW w:w="5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15%</w:t>
            </w:r>
          </w:p>
        </w:tc>
      </w:tr>
      <w:tr>
        <w:trPr>
          <w:trHeight w:val="236"/>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Supplier E</w:t>
            </w:r>
          </w:p>
        </w:tc>
        <w:tc>
          <w:tcPr>
            <w:tcW w:w="5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8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73</w:t>
            </w:r>
          </w:p>
        </w:tc>
        <w:tc>
          <w:tcPr>
            <w:tcW w:w="3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w w:val="88"/>
              </w:rPr>
              <w:t>79</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1"/>
        </w:trPr>
        <w:tc>
          <w:tcPr>
            <w:tcW w:w="85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ind w:left="220"/>
        <w:spacing w:after="0"/>
        <w:tabs>
          <w:tab w:leader="none" w:pos="520" w:val="left"/>
        </w:tabs>
        <w:rPr>
          <w:sz w:val="20"/>
          <w:szCs w:val="20"/>
          <w:color w:val="auto"/>
        </w:rPr>
      </w:pPr>
      <w:r>
        <w:rPr>
          <w:rFonts w:ascii="Times New Roman" w:cs="Times New Roman" w:eastAsia="Times New Roman" w:hAnsi="Times New Roman"/>
          <w:sz w:val="18"/>
          <w:szCs w:val="18"/>
          <w:color w:val="auto"/>
        </w:rPr>
        <w:t>*</w:t>
        <w:tab/>
        <w:t>Represent percentage less than 10%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27" w:name="page28"/>
    <w:bookmarkEnd w:id="27"/>
    <w:p>
      <w:pPr>
        <w:jc w:val="center"/>
        <w:ind w:left="360" w:right="20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UNAUDITED CONDENSED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current portion of bank loans outstanding as of June 30, 2025 and December 31, 2024 carried a weighted average interest rate of approximately 5.00% and 5.00% per annum,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Group may be subject to legal proceedings regarding contractual and employment relationships and a variety of other matters. The Group records contingent liabilities resulting from such claims, when a loss is assessed to be probable, and the amount of the loss is reasonably estimable. In the opinion of management, there were no material pending or threatened claims and litigation as of the issuance date of these unaudited condensed consolidated financial statements.</w:t>
      </w:r>
    </w:p>
    <w:p>
      <w:pPr>
        <w:spacing w:after="0" w:line="17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16.</w:t>
        <w:tab/>
        <w:t>SUBSEQUENT EVENTS</w:t>
      </w:r>
    </w:p>
    <w:p>
      <w:pPr>
        <w:spacing w:after="0" w:line="229"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The Group has evaluated subsequent events through September 23, 2025, except for the events mentioned below, the Group did not identify any subsequent events with material financial impact on the Group’s unaudited condensed consolidated financial statements.</w:t>
      </w:r>
    </w:p>
    <w:p>
      <w:pPr>
        <w:spacing w:after="0" w:line="162"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On August 7, 2025, the Company entered into a Securities Purchase Agreement with Streeterville Capital, LLC, issuing two convertible promissory notes totaling US$2.18 million in principal (net proceeds US$2.0 million) and 14,295,000 Class B ordinary shares for nominal consideration. The notes mature in 12 months, bear interest at 8% per annum (18% upon default), and are convertible into ADSs at a discount to market, subject to a floor price. Proceeds are intended for general corporate purposes. On August 12, 2025, the Company received the principal of the first note, amounting to US$1,000,000.</w:t>
      </w:r>
    </w:p>
    <w:p>
      <w:pPr>
        <w:spacing w:after="0" w:line="183" w:lineRule="exact"/>
        <w:rPr>
          <w:sz w:val="20"/>
          <w:szCs w:val="20"/>
          <w:color w:val="auto"/>
        </w:rPr>
      </w:pPr>
    </w:p>
    <w:p>
      <w:pPr>
        <w:ind w:right="540" w:firstLine="324"/>
        <w:spacing w:after="0" w:line="277" w:lineRule="auto"/>
        <w:rPr>
          <w:sz w:val="20"/>
          <w:szCs w:val="20"/>
          <w:color w:val="auto"/>
        </w:rPr>
      </w:pPr>
      <w:r>
        <w:rPr>
          <w:rFonts w:ascii="Times New Roman" w:cs="Times New Roman" w:eastAsia="Times New Roman" w:hAnsi="Times New Roman"/>
          <w:sz w:val="17"/>
          <w:szCs w:val="17"/>
          <w:color w:val="auto"/>
        </w:rPr>
        <w:t>On August 18, 2025, the Company entered into a definitive sales and purchase agreement (the “SPA”) to acquire a 30% equity stake in Tongxin Innovation Limited (“Tongxin”), operator of the innovative ToMe Web 3.0 e-commerce platform on Telegram. The proposed transaction, valued at approximately US$3 million, will be completed through the issuance of the Company’s ADSs in the form of Class B ordinary shares of Trident to Tongxin’s shareholders, and implies a total valuation of approximately US$10 million for Tongxin. The strategic investment represents a significant expansion of Trident’s Web 3.0 ecosystem and demonstrates the company’s commitment to pioneering blockchain-enabled e-commerce solutions.</w:t>
      </w:r>
    </w:p>
    <w:p>
      <w:pPr>
        <w:spacing w:after="0" w:line="16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On August 22, 2025, Mr. Soon Huat Lim, the ultimate controller of the Group, provided a financial support letter to the Group, pursuant to which up to SGD 8.0 million cash can be further provided to meet the Group’s other liabilities and commitments as they become due for at least twelve months from the issuance of this letter, to support the Group’s normal operation. If needed, Mr. Soon Huat Lim will sell or pledge the direct and indirect shares on the Company to provide such financial support when necessary.</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On September 8, 2025, the Company entered into a private investment in public equity (PIPE) transaction pursuant to a Securities Purchase Agreement with five designated purchasers (the "Purchasers"). Pursuant to the PIPE transaction, the Company issued an aggregate of 18,575,714 ADSs to the Purchasers, with each ADS representing 8 Class B Ordinary Shares of the Company, totaling 148,605,714 Class B Ordinary Shares. The gross proceeds of US$2,600,600 and the Company received proceeds (net of issuance cost) of US$2,374,566.</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w:t>
      </w:r>
    </w:p>
    <w:p>
      <w:pPr>
        <w:spacing w:after="0" w:line="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5" w:lineRule="exact"/>
        <w:rPr>
          <w:sz w:val="20"/>
          <w:szCs w:val="20"/>
          <w:color w:val="auto"/>
        </w:rPr>
      </w:pPr>
    </w:p>
    <w:p>
      <w:pPr>
        <w:ind w:right="40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of the financial condition and results of operations is based upon and should be read in conjunction with the unaudited financial results and statements of Trident Digital Tech Holdings Ltd (the “Company,” “we,” “our,” or “us”) for the six months ended June 30, 2025, furnished as Exhibit 99.1. to this report.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a leading catalyst for digital transformation in digital optimization, technology services, and Web 3.0 activation worldwide based in Singapore.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been a navigator for our clients as they ideate, plan and execute on their journey to a digital future through our solutions and services, comprising:</w:t>
      </w:r>
    </w:p>
    <w:p>
      <w:pPr>
        <w:spacing w:after="0" w:line="203" w:lineRule="exact"/>
        <w:rPr>
          <w:sz w:val="20"/>
          <w:szCs w:val="20"/>
          <w:color w:val="auto"/>
        </w:rPr>
      </w:pPr>
    </w:p>
    <w:p>
      <w:pPr>
        <w:ind w:right="4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Business consulting: </w:t>
      </w:r>
      <w:r>
        <w:rPr>
          <w:rFonts w:ascii="Times New Roman" w:cs="Times New Roman" w:eastAsia="Times New Roman" w:hAnsi="Times New Roman"/>
          <w:sz w:val="18"/>
          <w:szCs w:val="18"/>
          <w:color w:val="auto"/>
        </w:rPr>
        <w:t>We support clients to define and deliver technology-enabled transformations of their business. Equipped with the complete 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chain approach, our suite of offerings ranges from brand proposition, multi-channel commerce and digital marketing to improve customer experience and increase customer acquisition, to insights and real-time predictive analysis for efficient decision-making and optimizing processes.</w:t>
      </w:r>
    </w:p>
    <w:p>
      <w:pPr>
        <w:spacing w:after="0" w:line="171" w:lineRule="exact"/>
        <w:rPr>
          <w:sz w:val="20"/>
          <w:szCs w:val="20"/>
          <w:color w:val="auto"/>
        </w:rPr>
      </w:pPr>
    </w:p>
    <w:p>
      <w:pPr>
        <w:jc w:val="both"/>
        <w:ind w:right="28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IT customization: </w:t>
      </w:r>
      <w:r>
        <w:rPr>
          <w:rFonts w:ascii="Times New Roman" w:cs="Times New Roman" w:eastAsia="Times New Roman" w:hAnsi="Times New Roman"/>
          <w:sz w:val="18"/>
          <w:szCs w:val="18"/>
          <w:color w:val="auto"/>
        </w:rPr>
        <w:t>We offer solutions and services to plan, design, operate, optimize and transform business processes. We support clients to get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best value from technology by developing an IT strategy, optimizing applications and infrastructure, implementing IT operating models, and governing their technical architecture for reliability and security.</w:t>
      </w:r>
    </w:p>
    <w:p>
      <w:pPr>
        <w:spacing w:after="0" w:line="175" w:lineRule="exact"/>
        <w:rPr>
          <w:sz w:val="20"/>
          <w:szCs w:val="20"/>
          <w:color w:val="auto"/>
        </w:rPr>
      </w:pPr>
    </w:p>
    <w:p>
      <w:pPr>
        <w:ind w:right="400" w:firstLine="432"/>
        <w:spacing w:after="0" w:line="282" w:lineRule="auto"/>
        <w:rPr>
          <w:sz w:val="20"/>
          <w:szCs w:val="20"/>
          <w:color w:val="auto"/>
        </w:rPr>
      </w:pPr>
      <w:r>
        <w:rPr>
          <w:rFonts w:ascii="Times New Roman" w:cs="Times New Roman" w:eastAsia="Times New Roman" w:hAnsi="Times New Roman"/>
          <w:sz w:val="18"/>
          <w:szCs w:val="18"/>
          <w:color w:val="auto"/>
        </w:rPr>
        <w:t>We provide customized solutions and services that address the specific needs of clients in our strategic vertical markets. As of June 30, 2025, we served over 200 clients across our core verticals such as food and beverage, wholesale and retail.</w:t>
      </w:r>
    </w:p>
    <w:p>
      <w:pPr>
        <w:spacing w:after="0" w:line="162"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We launched Tridentity, a blockchain-based identity platform, in December 2023. As our flagship product, Tridentity is an innovative and highly secure blockchain-based identity solution designed to provide secure single sign-on authentication capabilities to integrated third-party systems across various industries. Tridentity aims to offer unparalleled security features, ensuring the protection of sensitive information and preventing potential threats, thus promising a new secure era in the global digital landscape in general, and in Southern Africa and other high-growth markets. Beyond Tridentity, our mission is to become the global leader in Web 3.0 activation, notably connecting businesses to a reliable and secure technological platform, with tailored and optimized customer experiences. We believe that Tridentity addresses a massive market opportunity today and provides us with an attractive runway for growth.</w:t>
      </w:r>
    </w:p>
    <w:p>
      <w:pPr>
        <w:spacing w:after="0" w:line="18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For the six months ended June 30, 2025 and 2024, we generated revenues of approximately US$36,612, and US$378,839, respectively. Revenues from IT customization and others ticket sales accounted for 60.4% and 39.6% of our total revenues for the six months ended June 30, 2025 respectively, and revenues from IT customization and business consulting accounted for 70.1% and 29.4% of our total revenues for the six months ended June 30, 2024 respectively. Following our strategic decision to phase out the business-consulting section, revenue from this line dropped to nil for the six months ended June 30, 2025, and we expect it to be nil in the future. We incurred a net loss of approximately US$11.27 million and US$1.93 million for the six months ended June 30, 2025 and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Key Factors Affecting Our Results of Operations</w:t>
      </w:r>
    </w:p>
    <w:p>
      <w:pPr>
        <w:spacing w:after="0" w:line="229"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We believe the growth and future success of our business depends on many factors. While these factors present significant opportunities for our business, they also pose important challenges we must successfully address in order to sustain our growth.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our solutions and services</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We launched Tridentity in December 2023. We may continue to expend resources in the development of offerings through Tridentity. Our ability to successfully develop and monetize new services and features may depend on a number of factors, including the availability of capital to invest in innovation, the effectiveness of our marketing efforts, competition, pricing, and our clients’ satisfaction and spending.</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Acquiring new clients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Sustaining continued revenue growth relies on the adoption of our solutions by new clients. We will continue to invest in our solutions and introduce new services and features to drive adoption and increase penetration in our core verticals such as food and beverage, wholesale and retail. We plan to continue winning new clients by investing in our salesforce, improving the awareness of our brands and solutions, and building new partnerships and integrations.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into new verticals and new markets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intend to expand into new verticals and sub-verticals with a particular focus on those with low digital adoption and growing usage of software solutions. We believe there is a significant need for our solutions and services on a global basis and, accordingly, opportunity for us to grow our business through further international expansion. We think these verticals and markets provide an attractive opportunity to introduce our solutions and services and drive adoption.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investment in innovation and growth</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have made substantial investments in research and development and sales and marketing to achieve a leadership position in our market and grow our revenues and client base. We intend to continue to invest in research and development to build new capabilities and maintain the core technology underpinning our solutions and services. In addition, we expect to increase investment in sales and marketing to broaden our reach with new clients at home and abroad and deepen our penetration with existing clients. We are in the process of increasing our general and administrative spending to support our growing operations and operate as a public company. With our revenue growth objectives, we expect to continue to make such investments for the foreseeable future.</w:t>
      </w: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900"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right="320" w:firstLine="324"/>
        <w:spacing w:after="0" w:line="312" w:lineRule="auto"/>
        <w:rPr>
          <w:sz w:val="20"/>
          <w:szCs w:val="20"/>
          <w:color w:val="auto"/>
        </w:rPr>
      </w:pPr>
      <w:r>
        <w:rPr>
          <w:rFonts w:ascii="Times New Roman" w:cs="Times New Roman" w:eastAsia="Times New Roman" w:hAnsi="Times New Roman"/>
          <w:sz w:val="17"/>
          <w:szCs w:val="17"/>
          <w:color w:val="auto"/>
        </w:rPr>
        <w:t>We derive revenues principally from providing business consulting services and IT customization services. The services we provide are essentially similar in terms of the nature of such services, the type of customers served, the delivery methods and the nature of the regulatory environment.</w:t>
      </w:r>
    </w:p>
    <w:p>
      <w:pPr>
        <w:spacing w:after="0" w:line="138" w:lineRule="exact"/>
        <w:rPr>
          <w:sz w:val="20"/>
          <w:szCs w:val="20"/>
          <w:color w:val="auto"/>
        </w:rPr>
      </w:pPr>
    </w:p>
    <w:p>
      <w:pPr>
        <w:ind w:right="4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Business consulting. </w:t>
      </w:r>
      <w:r>
        <w:rPr>
          <w:rFonts w:ascii="Times New Roman" w:cs="Times New Roman" w:eastAsia="Times New Roman" w:hAnsi="Times New Roman"/>
          <w:sz w:val="18"/>
          <w:szCs w:val="18"/>
          <w:color w:val="auto"/>
        </w:rPr>
        <w:t>We provide a wide range of business consulting services to customers of various industries, from business strategy advisory,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 of business workflows and processes, brand and reputation, to digital marketing in achieving organization objectives such as enhancing cost efficiency, productivity and customer experience.</w:t>
      </w:r>
    </w:p>
    <w:p>
      <w:pPr>
        <w:spacing w:after="0" w:line="173"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IT customization. </w:t>
      </w:r>
      <w:r>
        <w:rPr>
          <w:rFonts w:ascii="Times New Roman" w:cs="Times New Roman" w:eastAsia="Times New Roman" w:hAnsi="Times New Roman"/>
          <w:sz w:val="18"/>
          <w:szCs w:val="18"/>
          <w:color w:val="auto"/>
        </w:rPr>
        <w:t>We offer IT customization services, including tailor-made IT solutions or packaged software solutions to meet clients’ objectives.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services cover end-to-end solutions, including IT consultancy, design of the system architecture, planning and design of the solution, implementation, quality assurance, as well as maintenance support services. IT customization mainly consists of (i) IT consulting and customization services, including development of customized software solutions, implementation and training, server hosting, and one-year maintenance service; and (ii) management software solutions for clients via an annual subscription-based model, which subscription generally includes support services.</w:t>
      </w:r>
    </w:p>
    <w:p>
      <w:pPr>
        <w:spacing w:after="0" w:line="18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Others. </w:t>
      </w:r>
      <w:r>
        <w:rPr>
          <w:rFonts w:ascii="Times New Roman" w:cs="Times New Roman" w:eastAsia="Times New Roman" w:hAnsi="Times New Roman"/>
          <w:sz w:val="18"/>
          <w:szCs w:val="18"/>
          <w:color w:val="auto"/>
        </w:rPr>
        <w:t>We also generate revenues from selling event tickets on behalf of merchants in our own platform. Tridentity, is a cutting-edge identity app built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blockchain technology, designed to provide secure single sign-on capabilities to integrated third-party systems in various industries, which was launched in December 2023. We identify one performance obligation in this business, which is to transfer control of an event ticket to a ticker buyer once an order has been confirmed.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Cost of revenues represents costs and expenses incurred in order to generate revenues. Our cost of revenues primarily consists of (i) fees paid to service suppliers, such as outsourcing service cost, (ii) direct labor costs, and (iii) miscellaneous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right="20" w:firstLine="324"/>
        <w:spacing w:after="0" w:line="257" w:lineRule="auto"/>
        <w:rPr>
          <w:sz w:val="20"/>
          <w:szCs w:val="20"/>
          <w:color w:val="auto"/>
        </w:rPr>
      </w:pPr>
      <w:r>
        <w:rPr>
          <w:rFonts w:ascii="Times New Roman" w:cs="Times New Roman" w:eastAsia="Times New Roman" w:hAnsi="Times New Roman"/>
          <w:sz w:val="18"/>
          <w:szCs w:val="18"/>
          <w:color w:val="auto"/>
        </w:rPr>
        <w:t>Operating expenses include general and administrative expenses, selling and marketing expenses and research and development expenses. General and administrative expenses mainly consist of (i) non-employee share-based compensation expenses, (ii) salary and social welfare expenses to the management team, (iii) professional service fees, (iv) rental cost for offices, and (v) depreciation expenses. Our selling and marketing expenses mainly consist of</w:t>
      </w:r>
    </w:p>
    <w:p>
      <w:pPr>
        <w:spacing w:after="0" w:line="1" w:lineRule="exact"/>
        <w:rPr>
          <w:sz w:val="20"/>
          <w:szCs w:val="20"/>
          <w:color w:val="auto"/>
        </w:rPr>
      </w:pPr>
    </w:p>
    <w:p>
      <w:pPr>
        <w:ind w:right="280" w:firstLine="8"/>
        <w:spacing w:after="0" w:line="255" w:lineRule="auto"/>
        <w:tabs>
          <w:tab w:leader="none" w:pos="2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salary and social welfare expenses to the marketing team, and (ii) advertising costs and market promotion expenses. Our research and development expenses mainly consist of (i) system development expenses for a digital identity system named DRCPass; (ii) salary and social welfare expenses to the development team and (iii) outsource service fees.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Other income, net mainly consists of (i) government subsidies, (ii) non-refundable service fee from terminated consulting projects, (iii) referral commission, and (iv) interest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statements of operations and comprehensive loss for the six months ended June 30, 2025 and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2025 Compared to Six months ended June 30,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1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w w:val="96"/>
              </w:rPr>
              <w:t>Variances</w:t>
            </w:r>
          </w:p>
        </w:tc>
        <w:tc>
          <w:tcPr>
            <w:tcW w:w="8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1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Change in</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270"/>
              <w:spacing w:after="0" w:line="194" w:lineRule="exact"/>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120" w:type="dxa"/>
            <w:vAlign w:val="bottom"/>
            <w:tcBorders>
              <w:bottom w:val="single" w:sz="8" w:color="CCEEFF"/>
            </w:tcBorders>
          </w:tcPr>
          <w:p>
            <w:pPr>
              <w:spacing w:after="0"/>
              <w:rPr>
                <w:sz w:val="21"/>
                <w:szCs w:val="21"/>
                <w:color w:val="auto"/>
              </w:rPr>
            </w:pPr>
          </w:p>
        </w:tc>
        <w:tc>
          <w:tcPr>
            <w:tcW w:w="18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change</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378,839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(342,227)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-90.34%</w:t>
            </w:r>
          </w:p>
        </w:tc>
        <w:tc>
          <w:tcPr>
            <w:tcW w:w="0" w:type="dxa"/>
            <w:vAlign w:val="bottom"/>
          </w:tcPr>
          <w:p>
            <w:pPr>
              <w:spacing w:after="0"/>
              <w:rPr>
                <w:sz w:val="1"/>
                <w:szCs w:val="1"/>
                <w:color w:val="auto"/>
              </w:rPr>
            </w:pPr>
          </w:p>
        </w:tc>
      </w:tr>
      <w:tr>
        <w:trPr>
          <w:trHeight w:val="162"/>
        </w:trPr>
        <w:tc>
          <w:tcPr>
            <w:tcW w:w="4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81"/>
              <w:spacing w:after="0" w:line="162"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(360,390</w:t>
            </w:r>
          </w:p>
        </w:tc>
        <w:tc>
          <w:tcPr>
            <w:tcW w:w="200" w:type="dxa"/>
            <w:vAlign w:val="bottom"/>
          </w:tcPr>
          <w:p>
            <w:pPr>
              <w:jc w:val="right"/>
              <w:ind w:right="61"/>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341,421</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8"/>
                <w:szCs w:val="18"/>
                <w:color w:val="auto"/>
              </w:rPr>
              <w:t>-94.74%</w:t>
            </w:r>
          </w:p>
        </w:tc>
        <w:tc>
          <w:tcPr>
            <w:tcW w:w="0" w:type="dxa"/>
            <w:vAlign w:val="bottom"/>
          </w:tcPr>
          <w:p>
            <w:pPr>
              <w:spacing w:after="0"/>
              <w:rPr>
                <w:sz w:val="1"/>
                <w:szCs w:val="1"/>
                <w:color w:val="auto"/>
              </w:rPr>
            </w:pPr>
          </w:p>
        </w:tc>
      </w:tr>
      <w:tr>
        <w:trPr>
          <w:trHeight w:val="74"/>
        </w:trPr>
        <w:tc>
          <w:tcPr>
            <w:tcW w:w="4120" w:type="dxa"/>
            <w:vAlign w:val="bottom"/>
            <w:vMerge w:val="continue"/>
          </w:tcPr>
          <w:p>
            <w:pPr>
              <w:spacing w:after="0"/>
              <w:rPr>
                <w:sz w:val="6"/>
                <w:szCs w:val="6"/>
                <w:color w:val="auto"/>
              </w:rPr>
            </w:pPr>
          </w:p>
        </w:tc>
        <w:tc>
          <w:tcPr>
            <w:tcW w:w="1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2"/>
          </w:tcPr>
          <w:p>
            <w:pPr>
              <w:jc w:val="right"/>
              <w:ind w:right="141"/>
              <w:spacing w:after="0" w:line="68" w:lineRule="exact"/>
              <w:rPr>
                <w:sz w:val="20"/>
                <w:szCs w:val="20"/>
                <w:color w:val="auto"/>
              </w:rPr>
            </w:pPr>
            <w:r>
              <w:rPr>
                <w:rFonts w:ascii="Times New Roman" w:cs="Times New Roman" w:eastAsia="Times New Roman" w:hAnsi="Times New Roman"/>
                <w:sz w:val="7"/>
                <w:szCs w:val="7"/>
                <w:color w:val="auto"/>
              </w:rPr>
              <w:t>(18,969</w:t>
            </w:r>
          </w:p>
        </w:tc>
        <w:tc>
          <w:tcPr>
            <w:tcW w:w="2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17,643</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18,449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(806)</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(380,898)</w:t>
            </w:r>
          </w:p>
        </w:tc>
        <w:tc>
          <w:tcPr>
            <w:tcW w:w="260" w:type="dxa"/>
            <w:vAlign w:val="bottom"/>
          </w:tcPr>
          <w:p>
            <w:pPr>
              <w:spacing w:after="0"/>
              <w:rPr>
                <w:sz w:val="18"/>
                <w:szCs w:val="18"/>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(264,326)</w:t>
            </w:r>
          </w:p>
        </w:tc>
        <w:tc>
          <w:tcPr>
            <w:tcW w:w="14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(116,572)</w:t>
            </w: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44.10%</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(10,517,607)</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(1,528,022)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(8,989,585)</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588.32%</w:t>
            </w: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(447,369)</w:t>
            </w:r>
          </w:p>
        </w:tc>
        <w:tc>
          <w:tcPr>
            <w:tcW w:w="26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(172,519)</w:t>
            </w:r>
          </w:p>
        </w:tc>
        <w:tc>
          <w:tcPr>
            <w:tcW w:w="140" w:type="dxa"/>
            <w:vAlign w:val="bottom"/>
          </w:tcPr>
          <w:p>
            <w:pPr>
              <w:spacing w:after="0"/>
              <w:rPr>
                <w:sz w:val="20"/>
                <w:szCs w:val="20"/>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(274,850)</w:t>
            </w:r>
          </w:p>
        </w:tc>
        <w:tc>
          <w:tcPr>
            <w:tcW w:w="2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159.32%</w:t>
            </w:r>
          </w:p>
        </w:tc>
        <w:tc>
          <w:tcPr>
            <w:tcW w:w="0" w:type="dxa"/>
            <w:vAlign w:val="bottom"/>
          </w:tcPr>
          <w:p>
            <w:pPr>
              <w:spacing w:after="0"/>
              <w:rPr>
                <w:sz w:val="1"/>
                <w:szCs w:val="1"/>
                <w:color w:val="auto"/>
              </w:rPr>
            </w:pPr>
          </w:p>
        </w:tc>
      </w:tr>
      <w:tr>
        <w:trPr>
          <w:trHeight w:val="148"/>
        </w:trPr>
        <w:tc>
          <w:tcPr>
            <w:tcW w:w="412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8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jc w:val="right"/>
              <w:ind w:right="81"/>
              <w:spacing w:after="0" w:line="148"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(1,964,867</w:t>
            </w:r>
          </w:p>
        </w:tc>
        <w:tc>
          <w:tcPr>
            <w:tcW w:w="200" w:type="dxa"/>
            <w:vAlign w:val="bottom"/>
            <w:tcBorders>
              <w:top w:val="single" w:sz="8" w:color="CCEEFF"/>
            </w:tcBorders>
            <w:shd w:val="clear" w:color="auto" w:fill="CCEEFF"/>
          </w:tcPr>
          <w:p>
            <w:pPr>
              <w:jc w:val="right"/>
              <w:ind w:right="61"/>
              <w:spacing w:after="0" w:line="148"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(9,381,007</w:t>
            </w:r>
          </w:p>
        </w:tc>
        <w:tc>
          <w:tcPr>
            <w:tcW w:w="220" w:type="dxa"/>
            <w:vAlign w:val="bottom"/>
            <w:tcBorders>
              <w:top w:val="single" w:sz="8" w:color="CCEEFF"/>
            </w:tcBorders>
            <w:shd w:val="clear" w:color="auto" w:fill="CCEEFF"/>
          </w:tcPr>
          <w:p>
            <w:pPr>
              <w:jc w:val="right"/>
              <w:ind w:right="81"/>
              <w:spacing w:after="0" w:line="148"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CCEEFF"/>
            </w:tcBorders>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7"/>
                <w:szCs w:val="17"/>
                <w:color w:val="auto"/>
              </w:rPr>
              <w:t>477.44%</w:t>
            </w:r>
          </w:p>
        </w:tc>
        <w:tc>
          <w:tcPr>
            <w:tcW w:w="0" w:type="dxa"/>
            <w:vAlign w:val="bottom"/>
          </w:tcPr>
          <w:p>
            <w:pPr>
              <w:spacing w:after="0"/>
              <w:rPr>
                <w:sz w:val="1"/>
                <w:szCs w:val="1"/>
                <w:color w:val="auto"/>
              </w:rPr>
            </w:pPr>
          </w:p>
        </w:tc>
      </w:tr>
      <w:tr>
        <w:trPr>
          <w:trHeight w:val="88"/>
        </w:trPr>
        <w:tc>
          <w:tcPr>
            <w:tcW w:w="4120" w:type="dxa"/>
            <w:vAlign w:val="bottom"/>
            <w:vMerge w:val="continue"/>
            <w:shd w:val="clear" w:color="auto" w:fill="CCEEFF"/>
          </w:tcPr>
          <w:p>
            <w:pPr>
              <w:spacing w:after="0"/>
              <w:rPr>
                <w:sz w:val="7"/>
                <w:szCs w:val="7"/>
                <w:color w:val="auto"/>
              </w:rPr>
            </w:pPr>
          </w:p>
        </w:tc>
        <w:tc>
          <w:tcPr>
            <w:tcW w:w="18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180" w:type="dxa"/>
            <w:vAlign w:val="bottom"/>
            <w:gridSpan w:val="2"/>
            <w:shd w:val="clear" w:color="auto" w:fill="CCEEFF"/>
          </w:tcPr>
          <w:p>
            <w:pPr>
              <w:jc w:val="right"/>
              <w:ind w:right="141"/>
              <w:spacing w:after="0" w:line="68" w:lineRule="exact"/>
              <w:rPr>
                <w:sz w:val="20"/>
                <w:szCs w:val="20"/>
                <w:color w:val="auto"/>
              </w:rPr>
            </w:pPr>
            <w:r>
              <w:rPr>
                <w:rFonts w:ascii="Times New Roman" w:cs="Times New Roman" w:eastAsia="Times New Roman" w:hAnsi="Times New Roman"/>
                <w:sz w:val="7"/>
                <w:szCs w:val="7"/>
                <w:b w:val="1"/>
                <w:bCs w:val="1"/>
                <w:color w:val="auto"/>
              </w:rPr>
              <w:t>(11,345,874</w:t>
            </w:r>
          </w:p>
        </w:tc>
        <w:tc>
          <w:tcPr>
            <w:tcW w:w="260" w:type="dxa"/>
            <w:vAlign w:val="bottom"/>
            <w:shd w:val="clear" w:color="auto" w:fill="CCEEFF"/>
          </w:tcPr>
          <w:p>
            <w:pPr>
              <w:spacing w:after="0"/>
              <w:rPr>
                <w:sz w:val="7"/>
                <w:szCs w:val="7"/>
                <w:color w:val="auto"/>
              </w:rPr>
            </w:pPr>
          </w:p>
        </w:tc>
        <w:tc>
          <w:tcPr>
            <w:tcW w:w="860" w:type="dxa"/>
            <w:vAlign w:val="bottom"/>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80" w:type="dxa"/>
            <w:vAlign w:val="bottom"/>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1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Loss from operations</w:t>
            </w:r>
          </w:p>
        </w:tc>
        <w:tc>
          <w:tcPr>
            <w:tcW w:w="18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(11,328,231)</w:t>
            </w: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9"/>
              </w:rPr>
              <w:t>(1,946,418)</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(9,381,813)</w:t>
            </w: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482.00%</w:t>
            </w:r>
          </w:p>
        </w:tc>
        <w:tc>
          <w:tcPr>
            <w:tcW w:w="0" w:type="dxa"/>
            <w:vAlign w:val="bottom"/>
          </w:tcPr>
          <w:p>
            <w:pPr>
              <w:spacing w:after="0"/>
              <w:rPr>
                <w:sz w:val="1"/>
                <w:szCs w:val="1"/>
                <w:color w:val="auto"/>
              </w:rPr>
            </w:pPr>
          </w:p>
        </w:tc>
      </w:tr>
      <w:tr>
        <w:trPr>
          <w:trHeight w:val="25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1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56,683</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19,391</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37,292</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192.32%</w:t>
            </w:r>
          </w:p>
        </w:tc>
        <w:tc>
          <w:tcPr>
            <w:tcW w:w="0" w:type="dxa"/>
            <w:vAlign w:val="bottom"/>
          </w:tcPr>
          <w:p>
            <w:pPr>
              <w:spacing w:after="0"/>
              <w:rPr>
                <w:sz w:val="1"/>
                <w:szCs w:val="1"/>
                <w:color w:val="auto"/>
              </w:rPr>
            </w:pPr>
          </w:p>
        </w:tc>
      </w:tr>
      <w:tr>
        <w:trPr>
          <w:trHeight w:val="203"/>
        </w:trPr>
        <w:tc>
          <w:tcPr>
            <w:tcW w:w="41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Loss before income tax expense</w:t>
            </w:r>
          </w:p>
        </w:tc>
        <w:tc>
          <w:tcPr>
            <w:tcW w:w="18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(11,271,548)</w:t>
            </w: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9"/>
              </w:rPr>
              <w:t>(1,927,027)</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(9,344,521)</w:t>
            </w: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484.92%</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tcBorders>
              <w:top w:val="single" w:sz="8" w:color="CCEEFF"/>
            </w:tcBorders>
            <w:vMerge w:val="restart"/>
          </w:tcPr>
          <w:p>
            <w:pPr>
              <w:spacing w:after="0" w:line="20" w:lineRule="exact"/>
              <w:rPr>
                <w:sz w:val="1"/>
                <w:szCs w:val="1"/>
                <w:color w:val="auto"/>
              </w:rPr>
            </w:pPr>
          </w:p>
        </w:tc>
        <w:tc>
          <w:tcPr>
            <w:tcW w:w="1000" w:type="dxa"/>
            <w:vAlign w:val="bottom"/>
            <w:tcBorders>
              <w:top w:val="single" w:sz="8" w:color="CCEEFF"/>
            </w:tcBorders>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484.92%</w:t>
            </w:r>
          </w:p>
        </w:tc>
        <w:tc>
          <w:tcPr>
            <w:tcW w:w="0" w:type="dxa"/>
            <w:vAlign w:val="bottom"/>
          </w:tcPr>
          <w:p>
            <w:pPr>
              <w:spacing w:after="0" w:line="20" w:lineRule="exact"/>
              <w:rPr>
                <w:sz w:val="1"/>
                <w:szCs w:val="1"/>
                <w:color w:val="auto"/>
              </w:rPr>
            </w:pPr>
          </w:p>
        </w:tc>
      </w:tr>
      <w:tr>
        <w:trPr>
          <w:trHeight w:val="237"/>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(11,271,548</w:t>
            </w:r>
          </w:p>
        </w:tc>
        <w:tc>
          <w:tcPr>
            <w:tcW w:w="220" w:type="dxa"/>
            <w:vAlign w:val="bottom"/>
            <w:vMerge w:val="continue"/>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(1,927,027</w:t>
            </w:r>
          </w:p>
        </w:tc>
        <w:tc>
          <w:tcPr>
            <w:tcW w:w="20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(9,344,521</w:t>
            </w:r>
          </w:p>
        </w:tc>
        <w:tc>
          <w:tcPr>
            <w:tcW w:w="22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1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340" w:type="dxa"/>
            <w:vAlign w:val="bottom"/>
            <w:gridSpan w:val="12"/>
          </w:tcPr>
          <w:p>
            <w:pPr>
              <w:ind w:left="340"/>
              <w:spacing w:after="0"/>
              <w:rPr>
                <w:sz w:val="20"/>
                <w:szCs w:val="20"/>
                <w:color w:val="auto"/>
              </w:rPr>
            </w:pPr>
            <w:r>
              <w:rPr>
                <w:rFonts w:ascii="Times New Roman" w:cs="Times New Roman" w:eastAsia="Times New Roman" w:hAnsi="Times New Roman"/>
                <w:sz w:val="18"/>
                <w:szCs w:val="18"/>
                <w:color w:val="auto"/>
              </w:rPr>
              <w:t>The breakdown of revenues by revenue streams for the six months ended June 30, 2025 and 2024 is summarized below:</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8"/>
                <w:szCs w:val="18"/>
                <w:b w:val="1"/>
                <w:bCs w:val="1"/>
                <w:color w:val="auto"/>
              </w:rPr>
              <w:t>Variances</w:t>
            </w:r>
          </w:p>
        </w:tc>
        <w:tc>
          <w:tcPr>
            <w:tcW w:w="7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Business consulting</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111,318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(111,318)</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 customization</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22,106</w:t>
            </w:r>
          </w:p>
        </w:tc>
        <w:tc>
          <w:tcPr>
            <w:tcW w:w="3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265,649</w:t>
            </w:r>
          </w:p>
        </w:tc>
        <w:tc>
          <w:tcPr>
            <w:tcW w:w="18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(243,543)</w:t>
            </w:r>
          </w:p>
        </w:tc>
        <w:tc>
          <w:tcPr>
            <w:tcW w:w="3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-91.68%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 IT consulting</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17,096</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17,096</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(ii) Management software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5,010</w:t>
            </w:r>
          </w:p>
        </w:tc>
        <w:tc>
          <w:tcPr>
            <w:tcW w:w="3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265,649</w:t>
            </w:r>
          </w:p>
        </w:tc>
        <w:tc>
          <w:tcPr>
            <w:tcW w:w="18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(260,639)</w:t>
            </w:r>
          </w:p>
        </w:tc>
        <w:tc>
          <w:tcPr>
            <w:tcW w:w="3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-98.11%</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14,506</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1,872</w:t>
            </w:r>
          </w:p>
        </w:tc>
        <w:tc>
          <w:tcPr>
            <w:tcW w:w="1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12,634</w:t>
            </w:r>
          </w:p>
        </w:tc>
        <w:tc>
          <w:tcPr>
            <w:tcW w:w="3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674.89%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60" w:type="dxa"/>
            <w:vAlign w:val="bottom"/>
            <w:tcBorders>
              <w:top w:val="single" w:sz="8" w:color="CCEEFF"/>
            </w:tcBorders>
            <w:vMerge w:val="restart"/>
          </w:tcPr>
          <w:p>
            <w:pPr>
              <w:spacing w:after="0" w:line="20" w:lineRule="exact"/>
              <w:rPr>
                <w:sz w:val="1"/>
                <w:szCs w:val="1"/>
                <w:color w:val="auto"/>
              </w:rPr>
            </w:pPr>
          </w:p>
        </w:tc>
        <w:tc>
          <w:tcPr>
            <w:tcW w:w="900" w:type="dxa"/>
            <w:vAlign w:val="bottom"/>
            <w:tcBorders>
              <w:top w:val="single" w:sz="8" w:color="CCEEFF"/>
            </w:tcBorders>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-90.34%</w:t>
            </w: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36,612</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378,839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(342,227</w:t>
            </w:r>
          </w:p>
        </w:tc>
        <w:tc>
          <w:tcPr>
            <w:tcW w:w="220" w:type="dxa"/>
            <w:vAlign w:val="bottom"/>
            <w:gridSpan w:val="2"/>
            <w:vMerge w:val="continue"/>
          </w:tcPr>
          <w:p>
            <w:pPr>
              <w:spacing w:after="0"/>
              <w:rPr>
                <w:sz w:val="20"/>
                <w:szCs w:val="20"/>
                <w:color w:val="auto"/>
              </w:rPr>
            </w:pPr>
          </w:p>
        </w:tc>
        <w:tc>
          <w:tcPr>
            <w:tcW w:w="360" w:type="dxa"/>
            <w:vAlign w:val="bottom"/>
            <w:vMerge w:val="continue"/>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Company’s revenues decreased by 90.34% from US$378,839 for the six months ended June 30, 2024, to US$36,612 for the six months ended June 30, 2025. The year-on-year decrease in revenue was primarily due to the Company’s re-allocation of more resources on Tridentity platform and digital identity system, a core growth area for its long-term vision in the future. In line with our strategic shifting, business consulting revenue was dropped to nil for the six months ended June 30, 2025, and we expect it to be nil in the future. As a result, the original revenues from business consulting and IT customization both decreased and generated only US$22,106 for the six months ended June 30, 2025. This realignment allows the Company to concentrate on expanding its presence in Tridentity, positioning Trident to capture new opportunities in a rapidly advancing digital ecosystem.</w:t>
      </w:r>
    </w:p>
    <w:p>
      <w:pPr>
        <w:spacing w:after="0" w:line="187"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Tridentity currently includes three primary business modules: Tri-event for NFT (Non-Fungible Token) event ticketing, Tri-food for block-chain powered food delivery, and Tri-verse for virtual community connecting its users. As the platform remains in the development, optimization, and gradual testing stages, the Company generated US$14,506 in revenue from providing technical support for selling event tickets on behalf of merchants through Tridentity for the six months ended June 30,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4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The breakdown of cost of revenues for the six months ended June 30, 2025 and 2024 is summarized below:</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8"/>
                <w:szCs w:val="18"/>
                <w:b w:val="1"/>
                <w:bCs w:val="1"/>
                <w:color w:val="auto"/>
              </w:rPr>
              <w:t>Variances</w:t>
            </w:r>
          </w:p>
        </w:tc>
        <w:tc>
          <w:tcPr>
            <w:tcW w:w="7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labor costs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14,246</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14,246</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Service fees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4,723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358,534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(353,811)</w:t>
            </w:r>
          </w:p>
        </w:tc>
        <w:tc>
          <w:tcPr>
            <w:tcW w:w="3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-98.68%</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cost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1,856</w:t>
            </w:r>
          </w:p>
        </w:tc>
        <w:tc>
          <w:tcPr>
            <w:tcW w:w="1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(1,856)</w:t>
            </w:r>
          </w:p>
        </w:tc>
        <w:tc>
          <w:tcPr>
            <w:tcW w:w="3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60" w:type="dxa"/>
            <w:vAlign w:val="bottom"/>
            <w:tcBorders>
              <w:top w:val="single" w:sz="8" w:color="CCEEFF"/>
            </w:tcBorders>
            <w:vMerge w:val="restart"/>
          </w:tcPr>
          <w:p>
            <w:pPr>
              <w:spacing w:after="0" w:line="20" w:lineRule="exact"/>
              <w:rPr>
                <w:sz w:val="1"/>
                <w:szCs w:val="1"/>
                <w:color w:val="auto"/>
              </w:rPr>
            </w:pPr>
          </w:p>
        </w:tc>
        <w:tc>
          <w:tcPr>
            <w:tcW w:w="900" w:type="dxa"/>
            <w:vAlign w:val="bottom"/>
            <w:tcBorders>
              <w:top w:val="single" w:sz="8" w:color="CCEEFF"/>
            </w:tcBorders>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-94.74%</w:t>
            </w: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18,969</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360,390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(341,421</w:t>
            </w:r>
          </w:p>
        </w:tc>
        <w:tc>
          <w:tcPr>
            <w:tcW w:w="220" w:type="dxa"/>
            <w:vAlign w:val="bottom"/>
            <w:gridSpan w:val="2"/>
            <w:vMerge w:val="continue"/>
          </w:tcPr>
          <w:p>
            <w:pPr>
              <w:spacing w:after="0"/>
              <w:rPr>
                <w:sz w:val="20"/>
                <w:szCs w:val="20"/>
                <w:color w:val="auto"/>
              </w:rPr>
            </w:pPr>
          </w:p>
        </w:tc>
        <w:tc>
          <w:tcPr>
            <w:tcW w:w="360" w:type="dxa"/>
            <w:vAlign w:val="bottom"/>
            <w:vMerge w:val="continue"/>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Company’s cost of revenues decreased by 94.74% from US$360,390 for the six months ended June 30, 2024 to US$18,969 for the six months ended June 30, 2025, primarily due to a decrease in services fees from US$358,534 for the six months ended in June 30, 2024 to US$4,723 for the six months ended in June 30, 2025 in line with the decrease in revenues, and partially offset by the increase of direct labor cost of US$14,246 as a result of the increase in IT consulting project.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margin</w:t>
      </w:r>
    </w:p>
    <w:p>
      <w:pPr>
        <w:spacing w:after="0" w:line="22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As a result of the factors described above, the Company recorded a gross profit of US$0.02 million and US$0.02 million for the six months ended June 30, 2025 and 2024, representing a gross profit margin of 48.2% and 4.9%, respectively. The increase in gross profit margin was primarily due to the increase in revenue from providing technical support for ticket sales on behalf of merchants through Tridentity, which carries a 100% profit margin and accounted for a significant proportion of total revenues in the first half of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 expenses</w:t>
      </w:r>
    </w:p>
    <w:p>
      <w:pPr>
        <w:spacing w:after="0" w:line="227"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Company’s selling and marketing expenses increased from US$264,326 for the six months ended June 30, 2024 to US$380,898 for the six months ended June 30, 2025. The increase was primarily due to higher spending on marketing and advertising to support Web 3.0 initiatives and the expansion of the Company’s digital identity system business in Democratic Republic of the Congo (“DRC”) beginning in December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Company’s general and administrative expenses increased from US$1,528,022 for the six months ended June 30, 2024 to US$ 10,517,607 for the six months ended June 30, 2025. The increase was primarily due to (i) a US$6.9 million increase in non-employee share-based compensation expenses for services provided by several external consultants, including capital market strategy guidance, financing advisory, operational and logistics management and other general business related consulting; (ii) increase in professional service fees of US$0.92 million related to post-listing consulting services; and (iii) higher staff costs mainly due to increase in management salaries from US$0.71 million for the six months ended June 30, 2024 to US$1.69 million for the six months ended June 30, 2025.</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Company’s research and development expenses increased from US$172,519 for the six months ended June 30, 2024 to US$447,369 for the six months ended June 30, 2025, primarily due to the increase in outsource service and development for the DRCPass under the collaboration agreement with the DRC government, as well as technical support and maintenance expenses totaling US$338,226.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Company’s other income, net increased from US$19,391 for the six months ended June 30, 2024 to US$56,683 for the six months ended June 30, 2025. The increase was primarily due to the increase of US$40,717 in Human Resources grants from government when Trident hired and paid childcare leave.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As a result of the foregoing, we incurred a net loss of US$11,271,548 in the first half of 2025 and US$1,927,027 in the first half of 2024, respectively. The increase in net loss was primarily due to higher investment in the development and expansion of our digital identity system, including related share-based compensation expenses, and the research and development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brought within the jurisdiction of, the Cayman Islands. In addition, the Cayman Islands does not impose withholding tax on dividend payments.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Our subsidiaries incorporated in Singapore are subject to the prevailing Singapore Corporate Tax of 17%. With effect from the year of assessment 2020, other than certain new start-up companies, 75% of up to the first S$10,000, and 50% of up to the next S$190,000 of a company’s chargeable income (otherwise subject to normal taxation) is exempt from corporate tax. The remaining chargeable income that exceeds S$200,000 will be fully taxable at the prevailing corporate tax 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primary sources of liquidity have been cash flows from our operating activities, capital contributions from shareholders and loans from banks. As of June 30, 2025 and December 31, 2024, we had cash of US$184,618 and US$194,113, and total positive working capital of US$11,092 and US$313,733, respectively.</w:t>
      </w:r>
    </w:p>
    <w:p>
      <w:pPr>
        <w:spacing w:after="0" w:line="176"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We incurred net loss of US$11,271,548 in the first half of 2025 and US$1,927,027 in the first half of 2024, respectively. Net cash used in operating activities were US$3,658,587 and US$2,326,931 for the six years ended June 30, 2025 and 2024, respectively. Accumulated deficits were US$25,577,935 as of June 30, 2025.</w:t>
      </w:r>
    </w:p>
    <w:p>
      <w:pPr>
        <w:spacing w:after="0" w:line="176"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liquidity is based on its ability to generate cash from operating activities, obtain capital financing from equity interest investors and borrow funds from financial institutions. Our future capital requirements depend on many factors including our growth rate, the continuing market acceptance of our offerings, the timing and extent of spending to support our efforts to develop our platform, the expansion of sales and marketing activities, and the expansion and penetration of our business into different geographies and markets. To enhance our liquidity position or increase our cash reserve for future investments or operations through additional financing activities, we may in the future seek equity financing or obtain credit facilities. The issue of additional equity securities, including convertible debt securities completed in August 2025 and the PIPE transaction completed in September 2025, would result in further dilution to our shareholders. The incurrence of indebtedness would result in increased fixed obligations and could result in operating covenants that would restrict our operations. There can be no assurances, however, that the current operating plan will be achieved or that additional funding will be available on terms acceptable to us, or at all. If we are unable to obtain sufficient funding, it could be required to delay its development efforts and limit activities, which could adversely affect its business and the consolidated financial statements.</w:t>
      </w:r>
    </w:p>
    <w:p>
      <w:pPr>
        <w:spacing w:after="0" w:line="194"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Note 3 to the unaudited interim condensed consolidated financial statements discloses all of the matters of which we are aware that are relevant to our ability to continue as a going concern for a reasonable period of time (defined as the time within one year after the date that the financial statements are issued, or available to be issued, where applicable), including significant conditions and events, and management’s plans to mitigate the adverse effects of such conditions and events. There is no approved plan for liquidation and liquidation is not being forced by any other party. As such, we believe that the going concern basis of accounting is appropriate.</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Summary of Cash Flows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2025 Compared to Six months ended June 30, 2024</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00" w:lineRule="exact"/>
        <w:rPr>
          <w:sz w:val="20"/>
          <w:szCs w:val="20"/>
          <w:color w:val="auto"/>
        </w:rPr>
      </w:pPr>
    </w:p>
    <w:p>
      <w:pPr>
        <w:spacing w:after="0" w:line="237"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six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(3,649,470)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(2,282,403)</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(7,925)</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4,196,808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543,909</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(548,908)</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(58,614)</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86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3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(9,495)</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(1,797,735)</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at beginning of year / period</w:t>
            </w:r>
          </w:p>
        </w:tc>
        <w:tc>
          <w:tcPr>
            <w:tcW w:w="3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194,113</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1,808,603</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at end of year / period</w:t>
            </w: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184,618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10,868</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2025 was US$3,649,470, primarily attributable to (i) our net loss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US$11,271,548, as adjusted by the reconciliation of net loss to net cash used in operating activities, which primarily comprised non-employee share-based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of US$6,856,485, depreciation of right-of-use assets of US$185,801, allowance for expected credit loss of US$10,359 and depreciation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US$22,974; and (ii) changes in operating assets and liabilities, which were primarily the result of (a) a decrease in operating lease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US$185,800, and partially offset by: (b) an increase in amounts due to related parties of US$ 294,653 from the maintenance service provided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parties, (c) a decrease in other non-current assets of US$243,040, primarily due to the utilization of prepaid professional services, (d) an increase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revenue of US$134,195.</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2024 was US$2,282,403, primarily attributable to (i) our net loss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US$1,927,027, as adjusted by the reconciliation of net loss to net cash used in operating activities, which primarily comprised amortization of right-of-use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of US$280,739 and depreciation and amortization of US$29,776; and (ii) changes in operating assets and liabilities, which were primarily the result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 a decrease in accrued expense and other current liabilities of US$381,675 due to the payment of accrued expenses, (b) a decrease in operating lease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of US$280,738, (c) a decrease in deferred revenue of US$108,206 mainly due to the amortization of CRM software sales, and partially offset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an decrease in contract cost assets of US$147,391.</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2025 was US$7,925, which was primarily attributable to purchase of property and equipment in the amount of US$7,925, mainly expenditure in computer equipment.</w:t>
      </w:r>
    </w:p>
    <w:p>
      <w:pPr>
        <w:spacing w:after="0" w:line="16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2024 was US$627, which was primarily attributable to purchase of property and equipment in the amount of US$627, mainly expenditure in computer equipment.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2025 was US$4,196,808, which primarily comprised of loans from related parties of US$4,237,928, partially offset by (i) repayments of long-term bank loans of US$30,518 and (ii) repayment of loans from related parties of US$10,602.</w:t>
      </w:r>
    </w:p>
    <w:p>
      <w:pPr>
        <w:spacing w:after="0" w:line="17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2025 was US$543,909, which primarily comprised of (i) loans from related parties of US$1,461,977, (ii) settlement of loan to related parties of US$244,770, partially offset by (i) payment of deferred offering costs of US$990,572,</w:t>
      </w:r>
    </w:p>
    <w:p>
      <w:pPr>
        <w:ind w:right="220" w:firstLine="8"/>
        <w:spacing w:after="0" w:line="260" w:lineRule="auto"/>
        <w:tabs>
          <w:tab w:leader="none" w:pos="26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repayments of loan from long-term bank loans of US$53,527, (iii) loan to a related party of US$44,527 and repayment of loan from a related party of US$74,212.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Our capital expenditures are primarily incurred for purposes of purchasing office and electric equipment and investments in office renovation. Our capital expenditures were US$7,925 and US$627 for the six months ended June 30, 2025 and 2024, respectively. We intend to fund our future capital expenditures with our existing cash balance and proceeds from this offering. We will continue to make well-planned capital expenditures to meet the expected growth of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total future minimum lease payments under the non-cancellable operating lease with respect to the office and the warehouse as of June 30, 2025 are payable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Lease</w:t>
            </w:r>
          </w:p>
        </w:tc>
        <w:tc>
          <w:tcPr>
            <w:tcW w:w="0" w:type="dxa"/>
            <w:vAlign w:val="bottom"/>
          </w:tcPr>
          <w:p>
            <w:pPr>
              <w:spacing w:after="0"/>
              <w:rPr>
                <w:sz w:val="1"/>
                <w:szCs w:val="1"/>
                <w:color w:val="auto"/>
              </w:rPr>
            </w:pPr>
          </w:p>
        </w:tc>
      </w:tr>
      <w:tr>
        <w:trPr>
          <w:trHeight w:val="245"/>
        </w:trPr>
        <w:tc>
          <w:tcPr>
            <w:tcW w:w="396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0" w:type="dxa"/>
            <w:vAlign w:val="bottom"/>
          </w:tcPr>
          <w:p>
            <w:pPr>
              <w:spacing w:after="0"/>
              <w:rPr>
                <w:sz w:val="1"/>
                <w:szCs w:val="1"/>
                <w:color w:val="auto"/>
              </w:rPr>
            </w:pPr>
          </w:p>
        </w:tc>
      </w:tr>
      <w:tr>
        <w:trPr>
          <w:trHeight w:val="216"/>
        </w:trPr>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remaining period of 2025</w:t>
            </w:r>
          </w:p>
        </w:tc>
        <w:tc>
          <w:tcPr>
            <w:tcW w:w="60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421,986</w:t>
            </w:r>
          </w:p>
        </w:tc>
        <w:tc>
          <w:tcPr>
            <w:tcW w:w="0" w:type="dxa"/>
            <w:vAlign w:val="bottom"/>
          </w:tcPr>
          <w:p>
            <w:pPr>
              <w:spacing w:after="0"/>
              <w:rPr>
                <w:sz w:val="1"/>
                <w:szCs w:val="1"/>
                <w:color w:val="auto"/>
              </w:rPr>
            </w:pPr>
          </w:p>
        </w:tc>
      </w:tr>
      <w:tr>
        <w:trPr>
          <w:trHeight w:val="249"/>
        </w:trPr>
        <w:tc>
          <w:tcPr>
            <w:tcW w:w="3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6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274,248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lease payments</w:t>
            </w:r>
          </w:p>
        </w:tc>
        <w:tc>
          <w:tcPr>
            <w:tcW w:w="6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907,227</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6060" w:type="dxa"/>
            <w:vAlign w:val="bottom"/>
            <w:vMerge w:val="restart"/>
          </w:tcPr>
          <w:p>
            <w:pPr>
              <w:jc w:val="right"/>
              <w:ind w:right="421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96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jc w:val="both"/>
        <w:ind w:right="400"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certain legal proceedings, claims and disputes that arise in the ordinary course of business. Although the outcomes of these legal proceedings cannot be predicted, we do not believe these actions, in the aggregate, will have a material adverse impact on our financial position, results of operations or liquidity.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nature of our business does not appear to be affected by seasonal variations.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Management Estimates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GAAP, which requires us to make judgments, estimates and assumptions. To the extent that there are material differences between these estimates and actual results, our financial condition or results of operations would be affected. We base our estimates and assumptions on our own historical data and other assumptions that we believe are reasonable after taking account of our circumstances and expectations for the future based on available information. We evaluate these estimates and assumptions on an ongoing basis.</w:t>
      </w:r>
    </w:p>
    <w:p>
      <w:pPr>
        <w:spacing w:after="0" w:line="18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Our expectations regarding the future are based on available information and assumptions that we believe to be reasonable and accurate,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w:t>
      </w:r>
    </w:p>
    <w:p>
      <w:pPr>
        <w:spacing w:after="0" w:line="180"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critical accounting policies, judgments and estimates that we believe to have the most significant impact on our consolidated financial statements are described below, which should be read in conjunction with our consolidated financial statements and accompanying notes and other disclosures included in this annual report. When reviewing our financial statements, you should consider.</w:t>
      </w:r>
    </w:p>
    <w:p>
      <w:pPr>
        <w:spacing w:after="0" w:line="176"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selection of critical accounting policies;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judgments and other uncertainties affecting the application of such policies;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sensitivity of reported results to changes in conditions and assumptions;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9" w:name="page40"/>
    <w:bookmarkEnd w:id="39"/>
    <w:p>
      <w:pPr>
        <w:ind w:left="340"/>
        <w:spacing w:after="0"/>
        <w:rPr>
          <w:sz w:val="20"/>
          <w:szCs w:val="20"/>
          <w:color w:val="auto"/>
        </w:rPr>
      </w:pPr>
      <w:r>
        <w:rPr>
          <w:rFonts w:ascii="Times New Roman" w:cs="Times New Roman" w:eastAsia="Times New Roman" w:hAnsi="Times New Roman"/>
          <w:sz w:val="18"/>
          <w:szCs w:val="18"/>
          <w:color w:val="auto"/>
        </w:rPr>
        <w:t>Our critical accounting policies and practices include the following: (i) credit losses; (ii) revenue recognition; and (iii) income taxes. See Note 2</w:t>
      </w:r>
    </w:p>
    <w:p>
      <w:pPr>
        <w:spacing w:after="0" w:line="27"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7"/>
          <w:szCs w:val="17"/>
          <w:color w:val="auto"/>
        </w:rPr>
        <w:t>— Summary of Significant Accounting Policies to our unaudited interim condensed consolidated financial statements for the disclosure of these accounting policies. We believe the following accounting estimates involve the most significant judgments used in the preparation of our financial statements.</w:t>
      </w:r>
    </w:p>
    <w:p>
      <w:pPr>
        <w:spacing w:after="0" w:line="15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We consider our critical accounting estimates include valuation allowance of deferred tax assets and current expected credit loss.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deferred tax assets</w:t>
      </w:r>
    </w:p>
    <w:p>
      <w:pPr>
        <w:spacing w:after="0" w:line="227"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We account for income taxes under ASC 740. Deferred tax assets and liabilities are recognized for the future tax consequences attributable to differences between the consolidated financial statement carrying amounts of existing assets and liabilities and their respective tax bases.</w:t>
      </w:r>
    </w:p>
    <w:p>
      <w:pPr>
        <w:spacing w:after="0" w:line="162"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 Current income taxes are provided for in accordance with the laws of the relevant taxing authorities.</w:t>
      </w:r>
    </w:p>
    <w:p>
      <w:pPr>
        <w:spacing w:after="0" w:line="180"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Based upon the level of historical taxable income and projections for future taxable income over the periods in which the deferred tax assets are recoverable, management estimated that it is more likely than not that the results of future operations will not generate sufficient taxable income to realize the deferred tax assets as of June 30, 2025 and December 31, 2024. Thus, management decided to record a full valuation allowance. Valuation allowance amounted to $3,244,738 and $2,297,022 as of June 30, 2025 and December 31, 2024 respectively. While we consider the facts above, our projections of future income qualified tax-planning strategies may be changed due to the macroeconomic conditions and our business development. The deferred tax assets could be utilized in the future years if we make profits in the future, the valuation allowance shall be reversed.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(“EGC”) as defined in the JOBS Act. An EGC may take advantage of specified reduced reporting and other requirements compared to those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EGC does not need to comply with any new or revised accounting standards issued subsequent to the enactment of the JOBS Act until such date that a private company is otherwise required to comply with such new or revised accounting standards. Pursuant to the JOBS Act, we have elected to take advantage of the benefits of this extended transition period for complying with new or revised accounting standards. As a result, our operating results and financial statements may not be comparable to the operating results and financial statements of other companies who have adopted the new or revised accounting standards.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0" w:name="page41"/>
    <w:bookmarkEnd w:id="40"/>
    <w:p>
      <w:pPr>
        <w:ind w:firstLine="324"/>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The intent of ASU 2023-09 is to improve the disclosures around a company’s rate reconciliation information and certain types of income taxes companies are required to pay. Specifically, these new disclosure requirements will provide more transparency regarding income taxes companies pay in the United States and other countries, along with more disclosure around a company’s rate reconciliation, among other new disclosure requirements, such that users of financial statements can get better information about how the operations, related tax risks, tax planning and operational opportunities of companies affect their effective tax rates and future cash flow prospects. ASU 2023-09 is effective for annual fiscal years beginning after December 15, 2024, with early adoption permitted for annual financial statements that have not yet been issued or made available for issuance. The amendments under ASU 2023-09 should be applied on a prospective basis, although retrospective application is permitted. The Group is currently evaluating the impact that the adoption of these standards will have on its Consolidated Financial Statements.</w:t>
      </w:r>
    </w:p>
    <w:p>
      <w:pPr>
        <w:spacing w:after="0" w:line="18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(Subtopic 220-40): Disaggregation of Income Statement Expenses (“ASU 2024-03”), and in January 2025, the FASB issued ASU No. 2025-01, Income Statement - Reporting Comprehensive Income - Expense Disaggregation Disclosures (Subtopic 220-40): Clarifying the Effective Date (“ASU 2025-01”). ASU 2024-03 requires additional disclosure of the nature of expenses included in the income statement as well as disclosures about specific types of expenses included in the expense captions presented in the income statement. ASU 2024-03, as clarified by ASU 2025-01, is effective for annual reporting periods beginning after December 15, 2026, and interim periods within annual reporting periods beginning after December 15, 2027. Both early adoption and retrospective application are permitted. The Group is currently evaluating the impact that the adoption of these standards will have on its Consolidated Financial Statements.</w:t>
      </w:r>
    </w:p>
    <w:p>
      <w:pPr>
        <w:spacing w:after="0" w:line="192"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We do not discuss recent standards that are not anticipated to have an impact on or are unrelated to its consolidated financial condition, results of operations, cash flows or disclosures.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are also exposed to liquidity risk which is risk that we are unable to provide sufficient capital resources and liquidity to meet our commitments and business needs. Liquidity risk is controlled by the application of financial position analysis and monitoring procedures. When necessary, we will turn to other financial institutions and the shareholders to obtain short-term funding to meet the liquidity shortage.</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22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Inflationary factors, such as increases in personnel and overhead costs, could impair our operating results. Although we do not believe that inflation has had a material impact on our financial position or results of operations to date, a high rate of inflation in the future may have an adverse effect on our ability to maintain current levels of gross margin and operating expenses as a percentage of sales revenue if the revenues do not increase with such increased costs.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We are exposed to interest rate risk while we have bank loans. Although interest rates for our loans are about fixed for the terms of the loans, the interest rates are subject to change upon renewal.</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Foreign currency translation and transaction</w:t>
      </w:r>
    </w:p>
    <w:p>
      <w:pPr>
        <w:spacing w:after="0" w:line="22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All of our operating entities’ functional currency are SGD. As a result, we are exposed to foreign exchange risk as our results of operations may be affected by fluctuations in the exchange rate among SGD and USD. If the SGD depreciates against the USD, the value of our SGD revenues, earnings, and assets as expressed in our USD financial statements will decline. We have not entered into any hedging transactions in an effort to reduce our exposure to foreign exchange risk. Currently, these risks are not material to our financial condition or results of operations. As we expand internationally, our exposure to foreign currency translation and transaction risks may become more significant.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2"/>
          <w:szCs w:val="22"/>
          <w:b w:val="1"/>
          <w:bCs w:val="1"/>
          <w:color w:val="auto"/>
        </w:rPr>
        <w:t>Exhibit 99.3</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Trident Reports First Half 2025 Unaudited Financial Results</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SINGAPORE, September 23, 2025 (GLOBE NEWSWIRE) — Trident Digital Tech Holdings Ltd (“Trident” or the “Company,” NASDAQ: TDTH), a Singapore-based catalyst for digital transformation and Web 3.0 activation, today announced its unaudited financial results for the six months ended June 30,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Half of 2025 Financial Highlights</w:t>
      </w:r>
    </w:p>
    <w:p>
      <w:pPr>
        <w:spacing w:after="0" w:line="229"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were US$36,612, compared to US$378,839 for the six months ended June 30,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was US$17,643, compared to US$18,449 for the six months ended June 30, 2024.</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Soon Huat Lim, Trident’s Founder, Chairman, and Chief Executive Officer, commented, “Our 1H25 financial performance was marked with substantial strategic investments focused on long-term value creation. During the period, we also made additional strategic investments. These initiatives position us at the forefront of the digital asset ecosystem and underscore our conviction that building tomorrow’s infrastructure requires bold action today. With multiple revenue catalysts on the horizon, we are confident that our investments and strategic positioning will drive sustainable growth and create meaningful shareholder value in the quarters ahead.”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June 25, 2025, Trident announced that it had signed the definitive public-private partnership (PPP) agreement with the Government of the Democratic Republic of Congo (“DRC”). The contract paved the way for nationwide deployment of “DRCPass,” the DRC’s robust national digital identification system, to be rolled out in phases with an accompanying public-education campaign.</w:t>
      </w:r>
    </w:p>
    <w:p>
      <w:pPr>
        <w:spacing w:after="0" w:line="176"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On August 18, 2025, Trident announced it had entered into a definitive sales and purchase agreement to acquire a 30% equity stake in Tongxin Innovation Limited (“Tongxin”), operator of the innovative ToMe Web 3.0 e-commerce platform on Telegram. The strategic investment represents a significant expansion of Trident’s Web 3.0 ecosystem and demonstrates the company’s commitment to pioneering blockchain-enabled e-commerce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About Trident</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Trident is a leading catalyst for digital transformation in technology optimization and Web 3.0 activation. Its flagship product, Tridentity, is a blockchain-based identity platform that is designed to deliver secure single-sign-on authentication across diverse industries. Trident’s mission is to become a global leader in Web 3.0 enablement, connecting organizations to reliable and secure digital infrastructure with optimized user experiences, with a strong focus on Southern Africa and other high-growth markets.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This announcement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The Company may also make written or oral forward-looking statements in its periodic reports to the U.S. Securities and Exchange Commission (the “SEC”), in its annual report to shareholders, in announcements and other written materials, and in oral statements made by its officers, directors, or employees to third parties. Statements that are not historical facts, including statements about the Company’s beliefs, plans, and expectations, are forward-looking statements. Forward-looking statements involve inherent risks and uncertainties. A number of factors could also cause actual results to differ materially from those contained in any forward-looking statement, including but not limited to the following: potential adverse reactions or changes to business relationships; adverse changes in general economic or market conditions; and actions by third parties, including government agencies; the Company’s strategies, future business development, and financial condition and results of operations; the expected growth of the digital solutions market; the political, economic, social and legal developments in the jurisdictions that the Company operates in or in which the Company intends to expand its business and operations; the Company’s ability to maintain and enhance its brand. Further information regarding these and other risks is included in the Company’s filings with the SEC. All information provided in this announcement is as of the date of this announcement, and the Company does not undertake any obligation to update any forward-looking statement, except as required under applicable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Investor/Media Enquiries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Robin Yang, Partner – ICR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investor@tridentity.me | +1 (212) 321-0602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 Burgess, SVP – ICR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brad.burgess@icrinc.com</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3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(In U.S. dollars, except for share and per share data, or otherwise noted)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0" w:type="dxa"/>
            <w:vAlign w:val="bottom"/>
          </w:tcPr>
          <w:p>
            <w:pPr>
              <w:spacing w:after="0"/>
              <w:rPr>
                <w:sz w:val="18"/>
                <w:szCs w:val="18"/>
                <w:color w:val="auto"/>
              </w:rPr>
            </w:pPr>
          </w:p>
        </w:tc>
        <w:tc>
          <w:tcPr>
            <w:tcW w:w="106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77"/>
        </w:trPr>
        <w:tc>
          <w:tcPr>
            <w:tcW w:w="86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6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184,618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194,113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102,078</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80,587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cost assets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159,247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138,740</w:t>
            </w:r>
          </w:p>
        </w:tc>
        <w:tc>
          <w:tcPr>
            <w:tcW w:w="0" w:type="dxa"/>
            <w:vAlign w:val="bottom"/>
          </w:tcPr>
          <w:p>
            <w:pPr>
              <w:spacing w:after="0"/>
              <w:rPr>
                <w:sz w:val="1"/>
                <w:szCs w:val="1"/>
                <w:color w:val="auto"/>
              </w:rPr>
            </w:pPr>
          </w:p>
        </w:tc>
      </w:tr>
      <w:tr>
        <w:trPr>
          <w:trHeight w:val="25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21"/>
                <w:szCs w:val="21"/>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1,208,106</w:t>
            </w:r>
          </w:p>
        </w:tc>
        <w:tc>
          <w:tcPr>
            <w:tcW w:w="160" w:type="dxa"/>
            <w:vAlign w:val="bottom"/>
          </w:tcPr>
          <w:p>
            <w:pPr>
              <w:spacing w:after="0"/>
              <w:rPr>
                <w:sz w:val="21"/>
                <w:szCs w:val="21"/>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1,246,256</w:t>
            </w:r>
          </w:p>
        </w:tc>
        <w:tc>
          <w:tcPr>
            <w:tcW w:w="0" w:type="dxa"/>
            <w:vAlign w:val="bottom"/>
          </w:tcPr>
          <w:p>
            <w:pPr>
              <w:spacing w:after="0"/>
              <w:rPr>
                <w:sz w:val="1"/>
                <w:szCs w:val="1"/>
                <w:color w:val="auto"/>
              </w:rPr>
            </w:pPr>
          </w:p>
        </w:tc>
      </w:tr>
      <w:tr>
        <w:trPr>
          <w:trHeight w:val="237"/>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1,654,049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1,659,696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126,671</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139,717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871,955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991,796</w:t>
            </w:r>
          </w:p>
        </w:tc>
        <w:tc>
          <w:tcPr>
            <w:tcW w:w="0" w:type="dxa"/>
            <w:vAlign w:val="bottom"/>
          </w:tcPr>
          <w:p>
            <w:pPr>
              <w:spacing w:after="0"/>
              <w:rPr>
                <w:sz w:val="1"/>
                <w:szCs w:val="1"/>
                <w:color w:val="auto"/>
              </w:rPr>
            </w:pPr>
          </w:p>
        </w:tc>
      </w:tr>
      <w:tr>
        <w:trPr>
          <w:trHeight w:val="25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Pr>
          <w:p>
            <w:pPr>
              <w:spacing w:after="0"/>
              <w:rPr>
                <w:sz w:val="21"/>
                <w:szCs w:val="21"/>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243,040</w:t>
            </w:r>
          </w:p>
        </w:tc>
        <w:tc>
          <w:tcPr>
            <w:tcW w:w="0" w:type="dxa"/>
            <w:vAlign w:val="bottom"/>
          </w:tcPr>
          <w:p>
            <w:pPr>
              <w:spacing w:after="0"/>
              <w:rPr>
                <w:sz w:val="1"/>
                <w:szCs w:val="1"/>
                <w:color w:val="auto"/>
              </w:rPr>
            </w:pPr>
          </w:p>
        </w:tc>
      </w:tr>
      <w:tr>
        <w:trPr>
          <w:trHeight w:val="237"/>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998,626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1,374,553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2,652,675</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3,034,249</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borrowings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65,952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59,887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297,765</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322,027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543,849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409,654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44,909</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293,216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191,098</w:t>
            </w:r>
          </w:p>
        </w:tc>
        <w:tc>
          <w:tcPr>
            <w:tcW w:w="0" w:type="dxa"/>
            <w:vAlign w:val="bottom"/>
          </w:tcPr>
          <w:p>
            <w:pPr>
              <w:spacing w:after="0"/>
              <w:rPr>
                <w:sz w:val="1"/>
                <w:szCs w:val="1"/>
                <w:color w:val="auto"/>
              </w:rPr>
            </w:pPr>
          </w:p>
        </w:tc>
      </w:tr>
      <w:tr>
        <w:trPr>
          <w:trHeight w:val="25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60" w:type="dxa"/>
            <w:vAlign w:val="bottom"/>
          </w:tcPr>
          <w:p>
            <w:pPr>
              <w:spacing w:after="0"/>
              <w:rPr>
                <w:sz w:val="21"/>
                <w:szCs w:val="21"/>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397,266</w:t>
            </w:r>
          </w:p>
        </w:tc>
        <w:tc>
          <w:tcPr>
            <w:tcW w:w="160" w:type="dxa"/>
            <w:vAlign w:val="bottom"/>
          </w:tcPr>
          <w:p>
            <w:pPr>
              <w:spacing w:after="0"/>
              <w:rPr>
                <w:sz w:val="21"/>
                <w:szCs w:val="21"/>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363,297</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1,642,957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1,345,963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related parties, non-current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5,822,294</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1,345,225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69,326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95,624</w:t>
            </w:r>
          </w:p>
        </w:tc>
        <w:tc>
          <w:tcPr>
            <w:tcW w:w="0" w:type="dxa"/>
            <w:vAlign w:val="bottom"/>
          </w:tcPr>
          <w:p>
            <w:pPr>
              <w:spacing w:after="0"/>
              <w:rPr>
                <w:sz w:val="1"/>
                <w:szCs w:val="1"/>
                <w:color w:val="auto"/>
              </w:rPr>
            </w:pPr>
          </w:p>
        </w:tc>
      </w:tr>
      <w:tr>
        <w:trPr>
          <w:trHeight w:val="25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60" w:type="dxa"/>
            <w:vAlign w:val="bottom"/>
          </w:tcPr>
          <w:p>
            <w:pPr>
              <w:spacing w:after="0"/>
              <w:rPr>
                <w:sz w:val="21"/>
                <w:szCs w:val="21"/>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474,690</w:t>
            </w:r>
          </w:p>
        </w:tc>
        <w:tc>
          <w:tcPr>
            <w:tcW w:w="160" w:type="dxa"/>
            <w:vAlign w:val="bottom"/>
          </w:tcPr>
          <w:p>
            <w:pPr>
              <w:spacing w:after="0"/>
              <w:rPr>
                <w:sz w:val="21"/>
                <w:szCs w:val="21"/>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628,499</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6,366,310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2,069,348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8,009,267</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3,415,311</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15)</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(par value $0.00001 per share; 1,000,000,000 Class A ordinary shares authorized,</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50,000,000 and 50,000,000 Class A ordinary shares issued and outstanding as of June 30, 2025 and December 31,</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2024, respectively) *</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B Ordinary Shares (par value $0.00001 per share; 4,000,000,000 Class B ordinary shares authorized,</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603,864,286 and 466,364,286 Class B ordinary shares issued and outstanding as of June 30, 2025 and December 31,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 respectively) *</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6,039</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4,664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20,858,763</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14,003,653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(25,577,935)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(14,306,387)</w:t>
            </w:r>
          </w:p>
        </w:tc>
        <w:tc>
          <w:tcPr>
            <w:tcW w:w="0" w:type="dxa"/>
            <w:vAlign w:val="bottom"/>
          </w:tcPr>
          <w:p>
            <w:pPr>
              <w:spacing w:after="0"/>
              <w:rPr>
                <w:sz w:val="1"/>
                <w:szCs w:val="1"/>
                <w:color w:val="auto"/>
              </w:rPr>
            </w:pPr>
          </w:p>
        </w:tc>
      </w:tr>
      <w:tr>
        <w:trPr>
          <w:trHeight w:val="25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21"/>
                <w:szCs w:val="21"/>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(643,959)</w:t>
            </w:r>
          </w:p>
        </w:tc>
        <w:tc>
          <w:tcPr>
            <w:tcW w:w="16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(83,492)</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(5,356,592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(381,062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2,652,675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3,034,249</w:t>
            </w:r>
          </w:p>
        </w:tc>
        <w:tc>
          <w:tcPr>
            <w:tcW w:w="0" w:type="dxa"/>
            <w:vAlign w:val="bottom"/>
          </w:tcPr>
          <w:p>
            <w:pPr>
              <w:spacing w:after="0"/>
              <w:rPr>
                <w:sz w:val="1"/>
                <w:szCs w:val="1"/>
                <w:color w:val="auto"/>
              </w:rPr>
            </w:pPr>
          </w:p>
        </w:tc>
      </w:tr>
      <w:tr>
        <w:trPr>
          <w:trHeight w:val="20"/>
        </w:trPr>
        <w:tc>
          <w:tcPr>
            <w:tcW w:w="868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dollars, except for share and per share data, or otherwise noted)</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six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5715</wp:posOffset>
            </wp:positionV>
            <wp:extent cx="156019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6"/>
              </w:rPr>
              <w:t>36,612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378,839</w:t>
            </w:r>
          </w:p>
        </w:tc>
        <w:tc>
          <w:tcPr>
            <w:tcW w:w="100" w:type="dxa"/>
            <w:vAlign w:val="bottom"/>
            <w:shd w:val="clear" w:color="auto" w:fill="CCEEFF"/>
          </w:tcPr>
          <w:p>
            <w:pPr>
              <w:spacing w:after="0"/>
              <w:rPr>
                <w:sz w:val="18"/>
                <w:szCs w:val="18"/>
                <w:color w:val="auto"/>
              </w:rPr>
            </w:pPr>
          </w:p>
        </w:tc>
      </w:tr>
      <w:tr>
        <w:trPr>
          <w:trHeight w:val="25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Pr>
          <w:p>
            <w:pPr>
              <w:spacing w:after="0"/>
              <w:rPr>
                <w:sz w:val="21"/>
                <w:szCs w:val="21"/>
                <w:color w:val="auto"/>
              </w:rPr>
            </w:pPr>
          </w:p>
        </w:tc>
        <w:tc>
          <w:tcPr>
            <w:tcW w:w="11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7"/>
              </w:rPr>
              <w:t>(18,969)</w:t>
            </w:r>
          </w:p>
        </w:tc>
        <w:tc>
          <w:tcPr>
            <w:tcW w:w="24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(360,390)</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6"/>
              </w:rPr>
              <w:t>17,643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bl>
    <w:p>
      <w:pPr>
        <w:spacing w:after="0" w:line="198" w:lineRule="exact"/>
        <w:rPr>
          <w:sz w:val="20"/>
          <w:szCs w:val="20"/>
          <w:color w:val="auto"/>
        </w:rPr>
      </w:pPr>
    </w:p>
    <w:p>
      <w:pPr>
        <w:sectPr>
          <w:pgSz w:w="11900" w:h="16838" w:orient="portrait"/>
          <w:cols w:equalWidth="0" w:num="1">
            <w:col w:w="11240"/>
          </w:cols>
          <w:pgMar w:left="320" w:top="900"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Selling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7"/>
          <w:szCs w:val="17"/>
          <w:color w:val="auto"/>
        </w:rPr>
        <w:t>General and administrative expenses</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(expenses)/income,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Financial expenses,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Other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before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25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Income tax expenses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(380,898)</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(264,326)</w:t>
            </w:r>
          </w:p>
        </w:tc>
      </w:tr>
      <w:tr>
        <w:trPr>
          <w:trHeight w:val="216"/>
        </w:trPr>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(10,517,607)</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(1,528,022)</w:t>
            </w:r>
          </w:p>
        </w:tc>
      </w:tr>
      <w:tr>
        <w:trPr>
          <w:trHeight w:val="268"/>
        </w:trPr>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(447,369)</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(172,519)</w:t>
            </w:r>
          </w:p>
        </w:tc>
      </w:tr>
      <w:tr>
        <w:trPr>
          <w:trHeight w:val="237"/>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(11,345,874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(1,964,867</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648"/>
        </w:trPr>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(5,442)</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(5,015)</w:t>
            </w:r>
          </w:p>
        </w:tc>
      </w:tr>
      <w:tr>
        <w:trPr>
          <w:trHeight w:val="250"/>
        </w:trPr>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62,125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24,406</w:t>
            </w:r>
          </w:p>
        </w:tc>
        <w:tc>
          <w:tcPr>
            <w:tcW w:w="40" w:type="dxa"/>
            <w:vAlign w:val="bottom"/>
          </w:tcPr>
          <w:p>
            <w:pPr>
              <w:spacing w:after="0"/>
              <w:rPr>
                <w:sz w:val="21"/>
                <w:szCs w:val="21"/>
                <w:color w:val="auto"/>
              </w:rPr>
            </w:pPr>
          </w:p>
        </w:tc>
      </w:tr>
      <w:tr>
        <w:trPr>
          <w:trHeight w:val="237"/>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56,683</w:t>
            </w:r>
          </w:p>
        </w:tc>
        <w:tc>
          <w:tcPr>
            <w:tcW w:w="220" w:type="dxa"/>
            <w:vAlign w:val="bottom"/>
          </w:tcPr>
          <w:p>
            <w:pPr>
              <w:spacing w:after="0"/>
              <w:rPr>
                <w:sz w:val="20"/>
                <w:szCs w:val="20"/>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19,391</w:t>
            </w:r>
          </w:p>
        </w:tc>
        <w:tc>
          <w:tcPr>
            <w:tcW w:w="40" w:type="dxa"/>
            <w:vAlign w:val="bottom"/>
          </w:tcPr>
          <w:p>
            <w:pPr>
              <w:spacing w:after="0"/>
              <w:rPr>
                <w:sz w:val="20"/>
                <w:szCs w:val="20"/>
                <w:color w:val="auto"/>
              </w:rPr>
            </w:pPr>
          </w:p>
        </w:tc>
      </w:tr>
      <w:tr>
        <w:trPr>
          <w:trHeight w:val="432"/>
        </w:trPr>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(11,271,548)</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(1,927,027)</w:t>
            </w:r>
          </w:p>
        </w:tc>
      </w:tr>
      <w:tr>
        <w:trPr>
          <w:trHeight w:val="250"/>
        </w:trPr>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(11,271,548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(1,927,027</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431" w:lineRule="exact"/>
        <w:rPr>
          <w:sz w:val="20"/>
          <w:szCs w:val="20"/>
          <w:color w:val="auto"/>
        </w:rPr>
      </w:pPr>
    </w:p>
    <w:p>
      <w:pPr>
        <w:sectPr>
          <w:pgSz w:w="11900" w:h="16838" w:orient="portrait"/>
          <w:cols w:equalWidth="0" w:num="2">
            <w:col w:w="7960" w:space="720"/>
            <w:col w:w="2560"/>
          </w:cols>
          <w:pgMar w:left="320" w:top="900"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162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number of Ordinary Shares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loss per ordinary share</w:t>
      </w:r>
    </w:p>
    <w:p>
      <w:pPr>
        <w:spacing w:after="0" w:line="225" w:lineRule="exact"/>
        <w:rPr>
          <w:sz w:val="20"/>
          <w:szCs w:val="20"/>
          <w:color w:val="auto"/>
        </w:rPr>
      </w:pPr>
    </w:p>
    <w:p>
      <w:pPr>
        <w:ind w:firstLine="8"/>
        <w:spacing w:after="0" w:line="532" w:lineRule="auto"/>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and per share information are presented on a retroactive basis to reflect the reorganization (Note 1). The accompanying notes are an integral part of these unaudited condensed consolidated financial statements.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color w:val="auto"/>
        </w:rPr>
        <w:t>(560,467)</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(11,832,015</w:t>
      </w:r>
      <w:r>
        <w:rPr>
          <w:rFonts w:ascii="Times New Roman" w:cs="Times New Roman" w:eastAsia="Times New Roman" w:hAnsi="Times New Roman"/>
          <w:sz w:val="33"/>
          <w:szCs w:val="33"/>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-68580</wp:posOffset>
            </wp:positionV>
            <wp:extent cx="7200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13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621,289,700</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(0.02)</w:t>
      </w:r>
    </w:p>
    <w:p>
      <w:pPr>
        <w:spacing w:after="0" w:line="20" w:lineRule="exact"/>
        <w:rPr>
          <w:sz w:val="20"/>
          <w:szCs w:val="20"/>
          <w:color w:val="auto"/>
        </w:rPr>
      </w:pPr>
      <w:r>
        <w:rPr>
          <w:sz w:val="20"/>
          <w:szCs w:val="20"/>
          <w:color w:val="auto"/>
        </w:rPr>
        <w:br w:type="column"/>
      </w:r>
    </w:p>
    <w:p>
      <w:pPr>
        <w:jc w:val="right"/>
        <w:ind w:right="40"/>
        <w:spacing w:after="0"/>
        <w:rPr>
          <w:sz w:val="20"/>
          <w:szCs w:val="20"/>
          <w:color w:val="auto"/>
        </w:rPr>
      </w:pPr>
      <w:r>
        <w:rPr>
          <w:rFonts w:ascii="Times New Roman" w:cs="Times New Roman" w:eastAsia="Times New Roman" w:hAnsi="Times New Roman"/>
          <w:sz w:val="18"/>
          <w:szCs w:val="18"/>
          <w:color w:val="auto"/>
        </w:rPr>
        <w:t>(53,481)</w:t>
      </w:r>
    </w:p>
    <w:p>
      <w:pPr>
        <w:spacing w:after="0" w:line="3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(1,980,508</w:t>
      </w:r>
      <w:r>
        <w:rPr>
          <w:rFonts w:ascii="Times New Roman" w:cs="Times New Roman" w:eastAsia="Times New Roman" w:hAnsi="Times New Roman"/>
          <w:sz w:val="35"/>
          <w:szCs w:val="35"/>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-83185</wp:posOffset>
            </wp:positionV>
            <wp:extent cx="70294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11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501,964,286</w:t>
      </w:r>
    </w:p>
    <w:p>
      <w:pPr>
        <w:spacing w:after="0" w:line="22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(0.00)</w:t>
      </w:r>
    </w:p>
    <w:p>
      <w:pPr>
        <w:spacing w:after="0" w:line="1304" w:lineRule="exact"/>
        <w:rPr>
          <w:sz w:val="20"/>
          <w:szCs w:val="20"/>
          <w:color w:val="auto"/>
        </w:rPr>
      </w:pPr>
    </w:p>
    <w:p>
      <w:pPr>
        <w:sectPr>
          <w:pgSz w:w="11900" w:h="16838" w:orient="portrait"/>
          <w:cols w:equalWidth="0" w:num="3">
            <w:col w:w="8300" w:space="600"/>
            <w:col w:w="960" w:space="380"/>
            <w:col w:w="1000"/>
          </w:cols>
          <w:pgMar w:left="320" w:top="90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104"/>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2"/>
    </w:lvl>
  </w:abstractNum>
  <w:abstractNum w:abstractNumId="6">
    <w:nsid w:val="257130A3"/>
    <w:multiLevelType w:val="hybridMultilevel"/>
    <w:lvl w:ilvl="0">
      <w:lvlJc w:val="left"/>
      <w:lvlText w:val="%1."/>
      <w:numFmt w:val="decimal"/>
      <w:start w:val="2"/>
    </w:lvl>
  </w:abstractNum>
  <w:abstractNum w:abstractNumId="7">
    <w:nsid w:val="62BBD95A"/>
    <w:multiLevelType w:val="hybridMultilevel"/>
    <w:lvl w:ilvl="0">
      <w:lvlJc w:val="left"/>
      <w:lvlText w:val="%1."/>
      <w:numFmt w:val="decimal"/>
      <w:start w:val="2"/>
    </w:lvl>
  </w:abstractNum>
  <w:abstractNum w:abstractNumId="8">
    <w:nsid w:val="436C6125"/>
    <w:multiLevelType w:val="hybridMultilevel"/>
    <w:lvl w:ilvl="0">
      <w:lvlJc w:val="left"/>
      <w:lvlText w:val="%1."/>
      <w:numFmt w:val="decimal"/>
      <w:start w:val="2"/>
    </w:lvl>
  </w:abstractNum>
  <w:abstractNum w:abstractNumId="9">
    <w:nsid w:val="628C895D"/>
    <w:multiLevelType w:val="hybridMultilevel"/>
    <w:lvl w:ilvl="0">
      <w:lvlJc w:val="left"/>
      <w:lvlText w:val="%1."/>
      <w:numFmt w:val="decimal"/>
      <w:start w:val="2"/>
    </w:lvl>
  </w:abstractNum>
  <w:abstractNum w:abstractNumId="10">
    <w:nsid w:val="333AB105"/>
    <w:multiLevelType w:val="hybridMultilevel"/>
    <w:lvl w:ilvl="0">
      <w:lvlJc w:val="left"/>
      <w:lvlText w:val="%1."/>
      <w:numFmt w:val="decimal"/>
      <w:start w:val="2"/>
    </w:lvl>
  </w:abstractNum>
  <w:abstractNum w:abstractNumId="11">
    <w:nsid w:val="721DA317"/>
    <w:multiLevelType w:val="hybridMultilevel"/>
    <w:lvl w:ilvl="0">
      <w:lvlJc w:val="left"/>
      <w:lvlText w:val="%1."/>
      <w:numFmt w:val="decimal"/>
      <w:start w:val="2"/>
    </w:lvl>
  </w:abstractNum>
  <w:abstractNum w:abstractNumId="12">
    <w:nsid w:val="2443A858"/>
    <w:multiLevelType w:val="hybridMultilevel"/>
    <w:lvl w:ilvl="0">
      <w:lvlJc w:val="left"/>
      <w:lvlText w:val="%1."/>
      <w:numFmt w:val="decimal"/>
      <w:start w:val="3"/>
    </w:lvl>
  </w:abstractNum>
  <w:abstractNum w:abstractNumId="13">
    <w:nsid w:val="2D1D5AE9"/>
    <w:multiLevelType w:val="hybridMultilevel"/>
    <w:lvl w:ilvl="0">
      <w:lvlJc w:val="left"/>
      <w:lvlText w:val="%1)"/>
      <w:numFmt w:val="lowerRoman"/>
      <w:start w:val="1"/>
    </w:lvl>
  </w:abstractNum>
  <w:abstractNum w:abstractNumId="14">
    <w:nsid w:val="6763845E"/>
    <w:multiLevelType w:val="hybridMultilevel"/>
    <w:lvl w:ilvl="0">
      <w:lvlJc w:val="left"/>
      <w:lvlText w:val="%1."/>
      <w:numFmt w:val="decimal"/>
      <w:start w:val="6"/>
    </w:lvl>
  </w:abstractNum>
  <w:abstractNum w:abstractNumId="15">
    <w:nsid w:val="75A2A8D4"/>
    <w:multiLevelType w:val="hybridMultilevel"/>
    <w:lvl w:ilvl="0">
      <w:lvlJc w:val="left"/>
      <w:lvlText w:val="%1."/>
      <w:numFmt w:val="decimal"/>
      <w:start w:val="7"/>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decimal"/>
      <w:start w:val="8"/>
    </w:lvl>
  </w:abstractNum>
  <w:abstractNum w:abstractNumId="18">
    <w:nsid w:val="4353D0CD"/>
    <w:multiLevelType w:val="hybridMultilevel"/>
    <w:lvl w:ilvl="0">
      <w:lvlJc w:val="left"/>
      <w:lvlText w:val="%1."/>
      <w:numFmt w:val="decimal"/>
      <w:start w:val="8"/>
    </w:lvl>
  </w:abstractNum>
  <w:abstractNum w:abstractNumId="19">
    <w:nsid w:val="B03E0C6"/>
    <w:multiLevelType w:val="hybridMultilevel"/>
    <w:lvl w:ilvl="0">
      <w:lvlJc w:val="left"/>
      <w:lvlText w:val="%1."/>
      <w:numFmt w:val="decimal"/>
      <w:start w:val="9"/>
    </w:lvl>
  </w:abstractNum>
  <w:abstractNum w:abstractNumId="20">
    <w:nsid w:val="189A769B"/>
    <w:multiLevelType w:val="hybridMultilevel"/>
    <w:lvl w:ilvl="0">
      <w:lvlJc w:val="left"/>
      <w:lvlText w:val="%1."/>
      <w:numFmt w:val="decimal"/>
      <w:start w:val="9"/>
    </w:lvl>
  </w:abstractNum>
  <w:abstractNum w:abstractNumId="21">
    <w:nsid w:val="54E49EB4"/>
    <w:multiLevelType w:val="hybridMultilevel"/>
    <w:lvl w:ilvl="0">
      <w:lvlJc w:val="left"/>
      <w:lvlText w:val="%1."/>
      <w:numFmt w:val="decimal"/>
      <w:start w:val="10"/>
    </w:lvl>
  </w:abstractNum>
  <w:abstractNum w:abstractNumId="22">
    <w:nsid w:val="71F32454"/>
    <w:multiLevelType w:val="hybridMultilevel"/>
    <w:lvl w:ilvl="0">
      <w:lvlJc w:val="left"/>
      <w:lvlText w:val="%1."/>
      <w:numFmt w:val="decimal"/>
      <w:start w:val="11"/>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1)"/>
      <w:numFmt w:val="lowerRoman"/>
      <w:start w:val="1"/>
    </w:lvl>
  </w:abstractNum>
  <w:abstractNum w:abstractNumId="27">
    <w:nsid w:val="8138641"/>
    <w:multiLevelType w:val="hybridMultilevel"/>
    <w:lvl w:ilvl="0">
      <w:lvlJc w:val="left"/>
      <w:lvlText w:val="(%1)"/>
      <w:numFmt w:val="lowerRoman"/>
      <w:start w:val="2"/>
    </w:lvl>
  </w:abstractNum>
  <w:abstractNum w:abstractNumId="28">
    <w:nsid w:val="1E7FF521"/>
    <w:multiLevelType w:val="hybridMultilevel"/>
    <w:lvl w:ilvl="0">
      <w:lvlJc w:val="left"/>
      <w:lvlText w:val="(%1)"/>
      <w:numFmt w:val="decimal"/>
      <w:start w:val="1"/>
    </w:lvl>
  </w:abstractNum>
  <w:abstractNum w:abstractNumId="29">
    <w:nsid w:val="7C3DBD3D"/>
    <w:multiLevelType w:val="hybridMultilevel"/>
    <w:lvl w:ilvl="0">
      <w:lvlJc w:val="left"/>
      <w:lvlText w:val="\emdash "/>
      <w:numFmt w:val="bullet"/>
      <w:start w:val="1"/>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2025-09-23T06:04:38Z</dcterms:created>
  <dcterms:modified xsi:type="dcterms:W3CDTF">2025-09-23T06:04:38Z</dcterms:modified>
</cp:coreProperties>
</file>