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 2025</w:t>
      </w:r>
    </w:p>
    <w:p>
      <w:pPr>
        <w:spacing w:after="0" w:line="31"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Registration No. 333-__________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Trident Digital Tech Holdings Ltd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3"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8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4"/>
        </w:trPr>
        <w:tc>
          <w:tcPr>
            <w:tcW w:w="32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Soon Huat Lim</w:t>
            </w:r>
          </w:p>
        </w:tc>
        <w:tc>
          <w:tcPr>
            <w:tcW w:w="488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Stephanie Tang, Esq.</w:t>
            </w:r>
          </w:p>
        </w:tc>
      </w:tr>
      <w:tr>
        <w:trPr>
          <w:trHeight w:val="216"/>
        </w:trPr>
        <w:tc>
          <w:tcPr>
            <w:tcW w:w="32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4880" w:type="dxa"/>
            <w:vAlign w:val="bottom"/>
          </w:tcPr>
          <w:p>
            <w:pPr>
              <w:jc w:val="center"/>
              <w:ind w:left="2690"/>
              <w:spacing w:after="0"/>
              <w:rPr>
                <w:sz w:val="20"/>
                <w:szCs w:val="20"/>
                <w:color w:val="auto"/>
              </w:rPr>
            </w:pPr>
            <w:r>
              <w:rPr>
                <w:rFonts w:ascii="Times New Roman" w:cs="Times New Roman" w:eastAsia="Times New Roman" w:hAnsi="Times New Roman"/>
                <w:sz w:val="18"/>
                <w:szCs w:val="18"/>
                <w:color w:val="auto"/>
                <w:w w:val="99"/>
              </w:rPr>
              <w:t>Hogan Lovells</w:t>
            </w:r>
          </w:p>
        </w:tc>
      </w:tr>
      <w:tr>
        <w:trPr>
          <w:trHeight w:val="216"/>
        </w:trPr>
        <w:tc>
          <w:tcPr>
            <w:tcW w:w="32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Trident Digital Tech Holdings Ltd</w:t>
            </w:r>
          </w:p>
        </w:tc>
        <w:tc>
          <w:tcPr>
            <w:tcW w:w="4880" w:type="dxa"/>
            <w:vAlign w:val="bottom"/>
          </w:tcPr>
          <w:p>
            <w:pPr>
              <w:jc w:val="center"/>
              <w:ind w:left="2690"/>
              <w:spacing w:after="0"/>
              <w:rPr>
                <w:sz w:val="20"/>
                <w:szCs w:val="20"/>
                <w:color w:val="auto"/>
              </w:rPr>
            </w:pPr>
            <w:r>
              <w:rPr>
                <w:rFonts w:ascii="Times New Roman" w:cs="Times New Roman" w:eastAsia="Times New Roman" w:hAnsi="Times New Roman"/>
                <w:sz w:val="18"/>
                <w:szCs w:val="18"/>
                <w:color w:val="auto"/>
                <w:w w:val="98"/>
              </w:rPr>
              <w:t>11th Floor, One Pacific Place</w:t>
            </w:r>
          </w:p>
        </w:tc>
      </w:tr>
      <w:tr>
        <w:trPr>
          <w:trHeight w:val="216"/>
        </w:trPr>
        <w:tc>
          <w:tcPr>
            <w:tcW w:w="32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Suntec Tower 3,</w:t>
            </w:r>
          </w:p>
        </w:tc>
        <w:tc>
          <w:tcPr>
            <w:tcW w:w="4880" w:type="dxa"/>
            <w:vAlign w:val="bottom"/>
          </w:tcPr>
          <w:p>
            <w:pPr>
              <w:jc w:val="center"/>
              <w:ind w:left="2690"/>
              <w:spacing w:after="0"/>
              <w:rPr>
                <w:sz w:val="20"/>
                <w:szCs w:val="20"/>
                <w:color w:val="auto"/>
              </w:rPr>
            </w:pPr>
            <w:r>
              <w:rPr>
                <w:rFonts w:ascii="Times New Roman" w:cs="Times New Roman" w:eastAsia="Times New Roman" w:hAnsi="Times New Roman"/>
                <w:sz w:val="18"/>
                <w:szCs w:val="18"/>
                <w:color w:val="auto"/>
              </w:rPr>
              <w:t>88 Queensway Road</w:t>
            </w:r>
          </w:p>
        </w:tc>
      </w:tr>
      <w:tr>
        <w:trPr>
          <w:trHeight w:val="216"/>
        </w:trPr>
        <w:tc>
          <w:tcPr>
            <w:tcW w:w="32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8 Temasek Boulevard Road, #24-03</w:t>
            </w:r>
          </w:p>
        </w:tc>
        <w:tc>
          <w:tcPr>
            <w:tcW w:w="488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32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Singapore, 038988</w:t>
            </w:r>
          </w:p>
        </w:tc>
        <w:tc>
          <w:tcPr>
            <w:tcW w:w="4880" w:type="dxa"/>
            <w:vAlign w:val="bottom"/>
          </w:tcPr>
          <w:p>
            <w:pPr>
              <w:jc w:val="center"/>
              <w:ind w:left="2690"/>
              <w:spacing w:after="0"/>
              <w:rPr>
                <w:sz w:val="20"/>
                <w:szCs w:val="20"/>
                <w:color w:val="auto"/>
              </w:rPr>
            </w:pPr>
            <w:r>
              <w:rPr>
                <w:rFonts w:ascii="Times New Roman" w:cs="Times New Roman" w:eastAsia="Times New Roman" w:hAnsi="Times New Roman"/>
                <w:sz w:val="18"/>
                <w:szCs w:val="18"/>
                <w:color w:val="auto"/>
                <w:w w:val="99"/>
              </w:rPr>
              <w:t>+852 2219 0888</w:t>
            </w:r>
          </w:p>
        </w:tc>
      </w:tr>
      <w:tr>
        <w:trPr>
          <w:trHeight w:val="234"/>
        </w:trPr>
        <w:tc>
          <w:tcPr>
            <w:tcW w:w="32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+65 6513 6868</w:t>
            </w:r>
          </w:p>
        </w:tc>
        <w:tc>
          <w:tcPr>
            <w:tcW w:w="488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Item 1 and Item 2 of Part I of Form S-8 will be sent or given to participants as specified by Rule 428(b)(1) under the Securities Act. In accordance with the rules and regulations of the U.S.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225" w:lineRule="exact"/>
        <w:rPr>
          <w:sz w:val="20"/>
          <w:szCs w:val="20"/>
          <w:color w:val="auto"/>
        </w:rPr>
      </w:pPr>
    </w:p>
    <w:p>
      <w:pPr>
        <w:jc w:val="both"/>
        <w:ind w:firstLine="656"/>
        <w:spacing w:after="0" w:line="261"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registration statement on </w:t>
      </w:r>
      <w:hyperlink r:id="rId14">
        <w:r>
          <w:rPr>
            <w:rFonts w:ascii="Times New Roman" w:cs="Times New Roman" w:eastAsia="Times New Roman" w:hAnsi="Times New Roman"/>
            <w:sz w:val="18"/>
            <w:szCs w:val="18"/>
            <w:u w:val="single" w:color="auto"/>
            <w:color w:val="0000EE"/>
          </w:rPr>
          <w:t>Form F-1</w:t>
        </w:r>
      </w:hyperlink>
      <w:r>
        <w:rPr>
          <w:rFonts w:ascii="Times New Roman" w:cs="Times New Roman" w:eastAsia="Times New Roman" w:hAnsi="Times New Roman"/>
          <w:sz w:val="18"/>
          <w:szCs w:val="18"/>
          <w:color w:val="auto"/>
        </w:rPr>
        <w:t>, as amended (Securities Act File No. 333- 274857), initially filed with the Commission on October 4, 2023 and the final prospectus related thereto dated September 9, 2024, filed with the Commission on September 10, 2024 pursuant to Rule 424(b) under the Securities Act, which contains the Registrant’s audited financial statements for the latest fiscal year ended December 31, 2023 and the accompanying report of independent auditors issued with respect thereto dated April 19, 2024; and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6-K, filed with the Commission on </w:t>
      </w:r>
      <w:hyperlink r:id="rId15">
        <w:r>
          <w:rPr>
            <w:rFonts w:ascii="Times New Roman" w:cs="Times New Roman" w:eastAsia="Times New Roman" w:hAnsi="Times New Roman"/>
            <w:sz w:val="18"/>
            <w:szCs w:val="18"/>
            <w:u w:val="single" w:color="auto"/>
            <w:color w:val="0000EE"/>
          </w:rPr>
          <w:t>November 22, 2024</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December 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B ordinary shares contained in the Registrant’s registration statement on </w:t>
      </w:r>
      <w:hyperlink r:id="rId1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Securities Exchange Act of 1934, as amended (“Exchange Act”) filed on October 24, 2023, as modified by any amendment or report filed for the purpose of updating such description (Exchange Act Registration No. 001- 41848).</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 hereof from the date of filing of such documents.</w:t>
      </w:r>
    </w:p>
    <w:p>
      <w:pPr>
        <w:spacing w:after="0" w:line="176"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 The Registrant’s Amended and Restated Memorandum and Articles of Association provide for indemnification of directors and officers against all actions, proceedings, costs, charges, expenses, losses, damages or liabilities incurred or sustained by such directors and officers, other than by reason of such directors and officers’ own dishonesty, wilful default or fraud, in or about the conduct of the Registrant’s business or affairs (including as a result of any mistake of judgment) or in the execution or discharge of his or her duties, powers, authorities or discretions, including without prejudice to the generality of the foregoing, any costs, expenses, losses or liabilities incurred by such directors and officers in defending (whether successfully or otherwise) any civil proceedings concerning the Registrant or its affairs in any court whether in the Cayman Islands or elsewhere.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indemnification agreements, the form of which was filed as Exhibit 10.1 to the Registrant’s registration statement on Form F-1, as amended (File No. 333- 274857), the Registrant has agreed to indemnify its directors and officers against, to the fullest extent permitted by applicable law, any and all expenses and liabilities actually and reasonably incurred by reason of such director’s or officer’s corporate status.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2023 Equity Incentive Plan, as amended and restated, the Registrant has agreed to indemnify its plan administrator members (and/or its delegates) against certain liabilities and expenses incurred by such persons in connection with the operation, administration or interpretation of the plan.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Registrant’s Policy for the Recovery of Erroneously Awarded Compensation prohibits indemnification for compensation subject to recovery under the policy.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form of underwriting agreement filed as Exhibit 1.1 to the Registrant’s registration statement on Form F-1, as amended (File No. 333-274857) also provides for indemnification of the Registrant and the Registrant’s officers and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Registrant’s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Exhibits listed on the accompanying Exhibit Index are filed as a part of, or incorporated by reference into, this Registration Statement (See Exhibit Index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jc w:val="both"/>
        <w:ind w:left="660" w:firstLine="324"/>
        <w:spacing w:after="0" w:line="255"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in the effective registration statement;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firstLine="324"/>
        <w:spacing w:after="0" w:line="282" w:lineRule="auto"/>
        <w:rPr>
          <w:sz w:val="20"/>
          <w:szCs w:val="20"/>
          <w:color w:val="auto"/>
        </w:rPr>
      </w:pPr>
      <w:r>
        <w:rPr>
          <w:rFonts w:ascii="Times New Roman" w:cs="Times New Roman" w:eastAsia="Times New Roman" w:hAnsi="Times New Roman"/>
          <w:sz w:val="18"/>
          <w:szCs w:val="18"/>
          <w:color w:val="auto"/>
        </w:rPr>
        <w:t>(iii)    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1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Memorandum and Articles of Association of the Registrant (incorporated herein by reference to Exhibit 3.2 of the</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84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Registrant’s registration statement on Form F-1 (File No. 333- 274857), as amended, initially filed with the Commission on October 4,</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2023)</w:t>
              </w:r>
            </w:hyperlink>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Registrant’s Specimen Certificate for Class B ordinary shares (incorporated herein by reference to Exhibit 4.2 of the Registrant’s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registration statement on Form F-1 (File No. 333- 274857), as amended, initially filed with the Commission on October 4, 2023)</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Deposit Agreement between the Registrant, the depositary and holders of the American Depositary Shares (incorporated herein by</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60" w:type="dxa"/>
            <w:vAlign w:val="bottom"/>
            <w:tcBorders>
              <w:right w:val="single" w:sz="8" w:color="CCEEFF"/>
            </w:tcBorders>
            <w:gridSpan w:val="2"/>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reference to Exhibit 4.3 of the Registrant’s registration statement on Form F-1 (File No. 333- 274857), as amended, initially filed with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Commission on October 4, 2023)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Registrant’s Specimen American Depositary Receipt (included in Exhibit 4.3)</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Maples and Calder (Hong Kong) LLP</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2023 Equity Incentive Plan, as amended and restated (incorporated herein by reference to Exhibit 99.3 of the Registrant’s Current Report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6-K, filed with the Commission on December 4,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53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Maples and Calder (Hong Kong) LLP (included in Exhibit 5.1)</w:t>
            </w:r>
          </w:p>
        </w:tc>
        <w:tc>
          <w:tcPr>
            <w:tcW w:w="4720" w:type="dxa"/>
            <w:vAlign w:val="bottom"/>
            <w:tcBorders>
              <w:bottom w:val="single" w:sz="8" w:color="CCEEFF"/>
              <w:right w:val="single" w:sz="8" w:color="CCEEFF"/>
            </w:tcBorders>
            <w:gridSpan w:val="4"/>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Asia CPAs LLP</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60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Powers of Attorney (included in the signature pages of this Registration Statement)</w:t>
            </w:r>
          </w:p>
        </w:tc>
        <w:tc>
          <w:tcPr>
            <w:tcW w:w="4100" w:type="dxa"/>
            <w:vAlign w:val="bottom"/>
            <w:tcBorders>
              <w:bottom w:val="single" w:sz="8" w:color="CCEEFF"/>
              <w:right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18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8920" w:type="dxa"/>
            <w:vAlign w:val="bottom"/>
            <w:gridSpan w:val="9"/>
          </w:tcPr>
          <w:p>
            <w:pPr>
              <w:spacing w:after="0"/>
              <w:rPr>
                <w:sz w:val="15"/>
                <w:szCs w:val="15"/>
                <w:color w:val="auto"/>
              </w:rPr>
            </w:pPr>
          </w:p>
        </w:tc>
      </w:tr>
    </w:tbl>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Singapore, on January 2, 2025.</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Soon Huat Lim as his or her true and lawful attorney-in-fact and agent,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220" w:type="dxa"/>
            <w:vAlign w:val="bottom"/>
          </w:tcPr>
          <w:p>
            <w:pPr>
              <w:spacing w:after="0"/>
              <w:rPr>
                <w:sz w:val="24"/>
                <w:szCs w:val="24"/>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220" w:type="dxa"/>
            <w:vAlign w:val="bottom"/>
          </w:tcPr>
          <w:p>
            <w:pPr>
              <w:spacing w:after="0"/>
              <w:rPr>
                <w:sz w:val="20"/>
                <w:szCs w:val="20"/>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Haiyan Huang</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4"/>
                <w:szCs w:val="24"/>
                <w:color w:val="auto"/>
              </w:rPr>
            </w:pPr>
          </w:p>
        </w:tc>
      </w:tr>
      <w:tr>
        <w:trPr>
          <w:trHeight w:val="184"/>
        </w:trPr>
        <w:tc>
          <w:tcPr>
            <w:tcW w:w="36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Name: Haiyan Huang</w:t>
            </w:r>
          </w:p>
        </w:tc>
        <w:tc>
          <w:tcPr>
            <w:tcW w:w="220" w:type="dxa"/>
            <w:vAlign w:val="bottom"/>
          </w:tcPr>
          <w:p>
            <w:pPr>
              <w:spacing w:after="0"/>
              <w:rPr>
                <w:sz w:val="16"/>
                <w:szCs w:val="16"/>
                <w:color w:val="auto"/>
              </w:rPr>
            </w:pPr>
          </w:p>
        </w:tc>
        <w:tc>
          <w:tcPr>
            <w:tcW w:w="5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w w:val="98"/>
              </w:rPr>
              <w:t>(principal financial officer and</w:t>
            </w: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January 2, 2025</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40" w:type="dxa"/>
            <w:vAlign w:val="bottom"/>
          </w:tcPr>
          <w:p>
            <w:pPr>
              <w:spacing w:after="0"/>
              <w:rPr>
                <w:sz w:val="20"/>
                <w:szCs w:val="20"/>
                <w:color w:val="auto"/>
              </w:rPr>
            </w:pP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Poh Kiong Tan</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Technology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Poh Kiong Tan</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How Teck Lim</w:t>
            </w:r>
          </w:p>
        </w:tc>
        <w:tc>
          <w:tcPr>
            <w:tcW w:w="220" w:type="dxa"/>
            <w:vAlign w:val="bottom"/>
          </w:tcPr>
          <w:p>
            <w:pPr>
              <w:spacing w:after="0"/>
              <w:rPr>
                <w:sz w:val="24"/>
                <w:szCs w:val="24"/>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How Teck Lim</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Noi Keng Koh</w:t>
            </w:r>
          </w:p>
        </w:tc>
        <w:tc>
          <w:tcPr>
            <w:tcW w:w="220" w:type="dxa"/>
            <w:vAlign w:val="bottom"/>
          </w:tcPr>
          <w:p>
            <w:pPr>
              <w:spacing w:after="0"/>
              <w:rPr>
                <w:sz w:val="24"/>
                <w:szCs w:val="24"/>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Noi Keng Koh</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Chwee Koh Chua</w:t>
            </w:r>
          </w:p>
        </w:tc>
        <w:tc>
          <w:tcPr>
            <w:tcW w:w="220" w:type="dxa"/>
            <w:vAlign w:val="bottom"/>
          </w:tcPr>
          <w:p>
            <w:pPr>
              <w:spacing w:after="0"/>
              <w:rPr>
                <w:sz w:val="24"/>
                <w:szCs w:val="24"/>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Chwee Koh Chua</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37"/>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640"/>
              <w:spacing w:after="0"/>
              <w:rPr>
                <w:sz w:val="20"/>
                <w:szCs w:val="20"/>
                <w:color w:val="auto"/>
              </w:rPr>
            </w:pPr>
            <w:r>
              <w:rPr>
                <w:rFonts w:ascii="Times New Roman" w:cs="Times New Roman" w:eastAsia="Times New Roman" w:hAnsi="Times New Roman"/>
                <w:sz w:val="18"/>
                <w:szCs w:val="18"/>
                <w:color w:val="auto"/>
              </w:rPr>
              <w:t>II-5</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Trident Digital Tech Holdings Ltd, has signed this registration statement or amendment thereto in New York on January 2, 2025.</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for and on behalf of</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48715" cy="1088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4871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Ref:</w:t>
      </w:r>
      <w:r>
        <w:rPr>
          <w:sz w:val="20"/>
          <w:szCs w:val="20"/>
          <w:color w:val="auto"/>
        </w:rPr>
        <w:tab/>
      </w:r>
      <w:r>
        <w:rPr>
          <w:rFonts w:ascii="Times New Roman" w:cs="Times New Roman" w:eastAsia="Times New Roman" w:hAnsi="Times New Roman"/>
          <w:sz w:val="18"/>
          <w:szCs w:val="18"/>
          <w:color w:val="auto"/>
        </w:rPr>
        <w:t>JVZ/821544-000003/31201256v2</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Email</w:t>
        <w:tab/>
        <w:t>jessica.zhan@maples.com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Suntec Tower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January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Cayman Islands legal counsel to the Company in connection with a registration statement on Form S-8 to be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2 January 2025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relating to the registration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137,500,000 class B ordinary shares, par value US$0.00001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by the Company pursuant to the Company’s 2023 Equity Incentive Plan adopted by the directors of the Company on 29 September 2023 and the Amended and restated 2023 Equity Incentive Plan passed by the directors of the Company on 4 December 2024 and shareholders of the Company on 31 December 2024 (together,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purposes of giving this opinion, we have examined copies of the Registration Statement and the Plans. We have also reviewed copies of the amended and restated memorandum and articles of association of the Company adopted by a special resolution passed on 29 September 2023, and effective immediately prior to the completion of the Company’s initial public offering of American depositary shares representing its Shares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Articles</w:t>
      </w:r>
      <w:r>
        <w:rPr>
          <w:rFonts w:ascii="Times New Roman" w:cs="Times New Roman" w:eastAsia="Times New Roman" w:hAnsi="Times New Roman"/>
          <w:sz w:val="18"/>
          <w:szCs w:val="18"/>
          <w:color w:val="auto"/>
        </w:rPr>
        <w:t>”), and the written resolutions of the directors of the Company passed on 29 September 2023 and 4 December 2024 (together,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and subject to, the assumptions and qualifications set out below, and having regard to such legal considerations as we deem relevant, we are of the opinion that:</w:t>
      </w:r>
    </w:p>
    <w:p>
      <w:pPr>
        <w:spacing w:after="0" w:line="16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by the Company and registered under the Registration Statement have been duly and validly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812155" cy="1594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581215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sold and paid for in accordance with the terms of the Plans and in accordance with the Resolutions, and when appropriate entries are made in the register of members (shareholders) of the Company, the Shares will be legally issued, fully paid and non-assessable.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These opinions are subject to the qualification that under the Companies Act (As Revised) of the Cayman Islands,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(As Revised)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w:t>
      </w:r>
    </w:p>
    <w:p>
      <w:pPr>
        <w:jc w:val="both"/>
        <w:ind w:firstLine="8"/>
        <w:spacing w:after="0" w:line="252" w:lineRule="auto"/>
        <w:tabs>
          <w:tab w:leader="none" w:pos="2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document has been provided to us in draft or undated form, it will be duly executed, dated and unconditionally delivered in the same form as the last version provided to us, (d) the Memorandum and Articles remain in full force and effect and are unamended, (e) the Resolutions were duly passed in the manner prescribed in the Memorandum and Articles (including, without limitation, with respect to the disclosure of interests (if any) by directors of the Company) and have not been amended, varied or revoked in any respect, (f) there is nothing under any law (other than the laws of the Cayman Islands) which would or might affect the opinions set out above, (g) there is nothing contained in the minute book or corporate records of the Company (which we have not inspected) which would or might affect the options set out above, and (h) upon the issue of any Shares, the Company will receive consideration which shall be equal to at least the par value of such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to and for the benefit solely of the addressee and may not be relied upon by any other person for any purpose.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JVZ/821544-000003/31201256v2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168275</wp:posOffset>
            </wp:positionV>
            <wp:extent cx="154305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5430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Trident Digital Tech Holdings Ltd on Form S-8 of our report dated April 19, 2024, with respect to our audits of the consolidated financial statements of Trident Digital Tech Holdings Ltd as of December 31, 2023 and 2022 and for the years ended December 31, 2023 and 2022 appearing in the Registration Statement on Form F-1 (File No. 333-274857) of Trident Digital Tech Holdings Ltd for the year ended December 31, 2023 and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OFFICE ● 7 Penn Plaza ● Suite 830 ● New York, New York ●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646.442.4845 ● Fax 646.349.5200 ● www.marcumasia.com</w:t>
      </w:r>
    </w:p>
    <w:p>
      <w:pPr>
        <w:sectPr>
          <w:pgSz w:w="11900" w:h="16838" w:orient="portrait"/>
          <w:cols w:equalWidth="0" w:num="1">
            <w:col w:w="11240"/>
          </w:cols>
          <w:pgMar w:left="320" w:top="10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7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Table 1 – Newly Registered Securities</w:t>
            </w: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6"/>
                <w:szCs w:val="16"/>
                <w:color w:val="auto"/>
              </w:rPr>
            </w:pP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Security Class Title</w:t>
            </w:r>
            <w:r>
              <w:rPr>
                <w:rFonts w:ascii="Times New Roman" w:cs="Times New Roman" w:eastAsia="Times New Roman" w:hAnsi="Times New Roman"/>
                <w:sz w:val="29"/>
                <w:szCs w:val="29"/>
                <w:b w:val="1"/>
                <w:bCs w:val="1"/>
                <w:color w:val="auto"/>
                <w:w w:val="96"/>
                <w:vertAlign w:val="superscript"/>
              </w:rPr>
              <w:t>(1)</w:t>
            </w:r>
          </w:p>
        </w:tc>
        <w:tc>
          <w:tcPr>
            <w:tcW w:w="13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Calculation</w:t>
            </w:r>
          </w:p>
        </w:tc>
        <w:tc>
          <w:tcPr>
            <w:tcW w:w="1280" w:type="dxa"/>
            <w:vAlign w:val="bottom"/>
            <w:gridSpan w:val="2"/>
            <w:vMerge w:val="continue"/>
          </w:tcPr>
          <w:p>
            <w:pPr>
              <w:spacing w:after="0"/>
              <w:rPr>
                <w:sz w:val="16"/>
                <w:szCs w:val="16"/>
                <w:color w:val="auto"/>
              </w:rPr>
            </w:pPr>
          </w:p>
        </w:tc>
        <w:tc>
          <w:tcPr>
            <w:tcW w:w="108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Price Per</w:t>
            </w:r>
          </w:p>
        </w:tc>
        <w:tc>
          <w:tcPr>
            <w:tcW w:w="158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2560" w:type="dxa"/>
            <w:vAlign w:val="bottom"/>
            <w:vMerge w:val="continue"/>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80" w:type="dxa"/>
            <w:vAlign w:val="bottom"/>
            <w:gridSpan w:val="2"/>
          </w:tcPr>
          <w:p>
            <w:pPr>
              <w:jc w:val="center"/>
              <w:ind w:right="280"/>
              <w:spacing w:after="0" w:line="270" w:lineRule="exact"/>
              <w:rPr>
                <w:sz w:val="20"/>
                <w:szCs w:val="20"/>
                <w:color w:val="auto"/>
              </w:rPr>
            </w:pPr>
            <w:r>
              <w:rPr>
                <w:rFonts w:ascii="Times New Roman" w:cs="Times New Roman" w:eastAsia="Times New Roman" w:hAnsi="Times New Roman"/>
                <w:sz w:val="18"/>
                <w:szCs w:val="18"/>
                <w:b w:val="1"/>
                <w:bCs w:val="1"/>
                <w:color w:val="auto"/>
                <w:w w:val="95"/>
              </w:rPr>
              <w:t>Registered</w:t>
            </w:r>
            <w:r>
              <w:rPr>
                <w:rFonts w:ascii="Times New Roman" w:cs="Times New Roman" w:eastAsia="Times New Roman" w:hAnsi="Times New Roman"/>
                <w:sz w:val="29"/>
                <w:szCs w:val="29"/>
                <w:b w:val="1"/>
                <w:bCs w:val="1"/>
                <w:color w:val="auto"/>
                <w:w w:val="95"/>
                <w:vertAlign w:val="superscript"/>
              </w:rPr>
              <w:t>(2)</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27"/>
        </w:trPr>
        <w:tc>
          <w:tcPr>
            <w:tcW w:w="1180" w:type="dxa"/>
            <w:vAlign w:val="bottom"/>
            <w:tcBorders>
              <w:right w:val="single" w:sz="8" w:color="CCEEFF"/>
            </w:tcBorders>
            <w:shd w:val="clear" w:color="auto" w:fill="000000"/>
          </w:tcPr>
          <w:p>
            <w:pPr>
              <w:spacing w:after="0"/>
              <w:rPr>
                <w:sz w:val="2"/>
                <w:szCs w:val="2"/>
                <w:color w:val="auto"/>
              </w:rPr>
            </w:pPr>
          </w:p>
        </w:tc>
        <w:tc>
          <w:tcPr>
            <w:tcW w:w="2560" w:type="dxa"/>
            <w:vAlign w:val="bottom"/>
            <w:tcBorders>
              <w:right w:val="single" w:sz="8" w:color="CCEEFF"/>
            </w:tcBorders>
            <w:shd w:val="clear" w:color="auto" w:fill="000000"/>
          </w:tcPr>
          <w:p>
            <w:pPr>
              <w:spacing w:after="0"/>
              <w:rPr>
                <w:sz w:val="2"/>
                <w:szCs w:val="2"/>
                <w:color w:val="auto"/>
              </w:rPr>
            </w:pPr>
          </w:p>
        </w:tc>
        <w:tc>
          <w:tcPr>
            <w:tcW w:w="1340" w:type="dxa"/>
            <w:vAlign w:val="bottom"/>
            <w:tcBorders>
              <w:right w:val="single" w:sz="8" w:color="CCEEFF"/>
            </w:tcBorders>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1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2560" w:type="dxa"/>
            <w:vAlign w:val="bottom"/>
            <w:tcBorders>
              <w:right w:val="single" w:sz="8" w:color="CCEEFF"/>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B ordinary shares, par value</w:t>
            </w:r>
          </w:p>
        </w:tc>
        <w:tc>
          <w:tcPr>
            <w:tcW w:w="1340" w:type="dxa"/>
            <w:vAlign w:val="bottom"/>
            <w:tcBorders>
              <w:right w:val="single" w:sz="8" w:color="CCEEFF"/>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Rule 457(c) and</w:t>
            </w: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137,500,000</w:t>
            </w:r>
            <w:r>
              <w:rPr>
                <w:rFonts w:ascii="Times New Roman" w:cs="Times New Roman" w:eastAsia="Times New Roman" w:hAnsi="Times New Roman"/>
                <w:sz w:val="29"/>
                <w:szCs w:val="29"/>
                <w:b w:val="1"/>
                <w:bCs w:val="1"/>
                <w:color w:val="auto"/>
                <w:vertAlign w:val="superscript"/>
              </w:rPr>
              <w:t>(2)</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0.277</w:t>
            </w:r>
            <w:r>
              <w:rPr>
                <w:rFonts w:ascii="Times New Roman" w:cs="Times New Roman" w:eastAsia="Times New Roman" w:hAnsi="Times New Roman"/>
                <w:sz w:val="29"/>
                <w:szCs w:val="29"/>
                <w:b w:val="1"/>
                <w:bCs w:val="1"/>
                <w:color w:val="auto"/>
                <w:vertAlign w:val="superscript"/>
              </w:rPr>
              <w:t>(3)</w:t>
            </w:r>
          </w:p>
        </w:tc>
        <w:tc>
          <w:tcPr>
            <w:tcW w:w="15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US$38,087,500</w:t>
            </w:r>
            <w:r>
              <w:rPr>
                <w:rFonts w:ascii="Times New Roman" w:cs="Times New Roman" w:eastAsia="Times New Roman" w:hAnsi="Times New Roman"/>
                <w:sz w:val="29"/>
                <w:szCs w:val="29"/>
                <w:b w:val="1"/>
                <w:bCs w:val="1"/>
                <w:color w:val="auto"/>
                <w:w w:val="98"/>
                <w:vertAlign w:val="superscript"/>
              </w:rPr>
              <w:t>(2)(3)</w:t>
            </w:r>
          </w:p>
        </w:tc>
        <w:tc>
          <w:tcPr>
            <w:tcW w:w="8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80" w:type="dxa"/>
            <w:vAlign w:val="bottom"/>
            <w:tcBorders>
              <w:right w:val="single" w:sz="8" w:color="CCEEFF"/>
            </w:tcBorders>
            <w:shd w:val="clear" w:color="auto" w:fill="CCEEFF"/>
          </w:tcPr>
          <w:p>
            <w:pPr>
              <w:spacing w:after="0"/>
              <w:rPr>
                <w:sz w:val="20"/>
                <w:szCs w:val="20"/>
                <w:color w:val="auto"/>
              </w:rPr>
            </w:pPr>
          </w:p>
        </w:tc>
        <w:tc>
          <w:tcPr>
            <w:tcW w:w="2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US$0.00001 per share</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Rule 457(h)</w:t>
            </w:r>
          </w:p>
        </w:tc>
        <w:tc>
          <w:tcPr>
            <w:tcW w:w="128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580" w:type="dxa"/>
            <w:vAlign w:val="bottom"/>
            <w:gridSpan w:val="2"/>
            <w:vMerge w:val="continue"/>
            <w:shd w:val="clear" w:color="auto" w:fill="CCEEFF"/>
          </w:tcPr>
          <w:p>
            <w:pPr>
              <w:spacing w:after="0"/>
              <w:rPr>
                <w:sz w:val="20"/>
                <w:szCs w:val="20"/>
                <w:color w:val="auto"/>
              </w:rPr>
            </w:pPr>
          </w:p>
        </w:tc>
        <w:tc>
          <w:tcPr>
            <w:tcW w:w="22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0.0001531 US$5,831.19625</w:t>
            </w:r>
          </w:p>
        </w:tc>
        <w:tc>
          <w:tcPr>
            <w:tcW w:w="0" w:type="dxa"/>
            <w:vAlign w:val="bottom"/>
          </w:tcPr>
          <w:p>
            <w:pPr>
              <w:spacing w:after="0"/>
              <w:rPr>
                <w:sz w:val="1"/>
                <w:szCs w:val="1"/>
                <w:color w:val="auto"/>
              </w:rPr>
            </w:pPr>
          </w:p>
        </w:tc>
      </w:tr>
      <w:tr>
        <w:trPr>
          <w:trHeight w:val="24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38,087,500</w:t>
            </w:r>
            <w:r>
              <w:rPr>
                <w:rFonts w:ascii="Times New Roman" w:cs="Times New Roman" w:eastAsia="Times New Roman" w:hAnsi="Times New Roman"/>
                <w:sz w:val="28"/>
                <w:szCs w:val="28"/>
                <w:b w:val="1"/>
                <w:bCs w:val="1"/>
                <w:color w:val="auto"/>
                <w:vertAlign w:val="superscript"/>
              </w:rPr>
              <w:t>(2)(3)</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US$</w:t>
            </w:r>
            <w:r>
              <w:rPr>
                <w:rFonts w:ascii="Times New Roman" w:cs="Times New Roman" w:eastAsia="Times New Roman" w:hAnsi="Times New Roman"/>
                <w:sz w:val="18"/>
                <w:szCs w:val="18"/>
                <w:color w:val="auto"/>
                <w:w w:val="98"/>
              </w:rPr>
              <w:t>5,831.19625</w:t>
            </w:r>
          </w:p>
        </w:tc>
        <w:tc>
          <w:tcPr>
            <w:tcW w:w="0" w:type="dxa"/>
            <w:vAlign w:val="bottom"/>
          </w:tcPr>
          <w:p>
            <w:pPr>
              <w:spacing w:after="0"/>
              <w:rPr>
                <w:sz w:val="1"/>
                <w:szCs w:val="1"/>
                <w:color w:val="auto"/>
              </w:rPr>
            </w:pPr>
          </w:p>
        </w:tc>
      </w:tr>
      <w:tr>
        <w:trPr>
          <w:trHeight w:val="27"/>
        </w:trPr>
        <w:tc>
          <w:tcPr>
            <w:tcW w:w="374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340" w:type="dxa"/>
            <w:vAlign w:val="bottom"/>
            <w:tcBorders>
              <w:righ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40" w:type="dxa"/>
            <w:vAlign w:val="bottom"/>
            <w:tcBorders>
              <w:right w:val="single" w:sz="8" w:color="CCEEFF"/>
            </w:tcBorders>
            <w:gridSpan w:val="2"/>
            <w:vMerge w:val="continue"/>
            <w:shd w:val="clear" w:color="auto" w:fill="CCEEFF"/>
          </w:tcPr>
          <w:p>
            <w:pPr>
              <w:spacing w:after="0"/>
              <w:rPr>
                <w:sz w:val="22"/>
                <w:szCs w:val="22"/>
                <w:color w:val="auto"/>
              </w:rPr>
            </w:pPr>
          </w:p>
        </w:tc>
        <w:tc>
          <w:tcPr>
            <w:tcW w:w="1340" w:type="dxa"/>
            <w:vAlign w:val="bottom"/>
            <w:tcBorders>
              <w:right w:val="single" w:sz="8" w:color="CCEEFF"/>
            </w:tcBorders>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1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Fee Due</w:t>
            </w:r>
          </w:p>
        </w:tc>
        <w:tc>
          <w:tcPr>
            <w:tcW w:w="25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u w:val="single" w:color="auto"/>
                <w:color w:val="auto"/>
                <w:w w:val="98"/>
              </w:rPr>
              <w:t>US$</w:t>
            </w:r>
            <w:r>
              <w:rPr>
                <w:rFonts w:ascii="Times New Roman" w:cs="Times New Roman" w:eastAsia="Times New Roman" w:hAnsi="Times New Roman"/>
                <w:sz w:val="18"/>
                <w:szCs w:val="18"/>
                <w:color w:val="auto"/>
                <w:w w:val="98"/>
              </w:rPr>
              <w:t>5,831.19625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par value US$0.00001 per share of Trident Digital Tech Holdings Ltd (the “Registrant”) registered hereunder are represented by American depositary shares “(ADSs”), each representing eight Class B ordinary shares, par value US$0.00001 per share. The Registrant’s ADSs issuable upon deposit of the Class B ordinary shares have been registered under a separate registration statement on Form F-6 (Registration No. 333- 275089).</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B ordinary shares, par value US$0.00001 per share to be issued upon exercise of awards to be granted under the 2023 Equity Incentive Plan, as amended and restated.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determining the amount of registration fee pursuant to Rule 457(c) and (h) under the Securities Act of 1933, as amended, based on the average of the high ($2.305) and low ($2.125) prices for the Registrant’s ADS on the Nasdaq Capital Market on December 31, 2024.</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jpeg"/><Relationship Id="rId14" Type="http://schemas.openxmlformats.org/officeDocument/2006/relationships/hyperlink" Target="https://www.sec.gov/Archives/edgar/data/1983550/000101376223001433/ff12023_trident.htm" TargetMode="External"/><Relationship Id="rId15" Type="http://schemas.openxmlformats.org/officeDocument/2006/relationships/hyperlink" Target="https://www.sec.gov/Archives/edgar/data/1983550/000121390024101667/ea0222082-6k_trident.htm" TargetMode="External"/><Relationship Id="rId16" Type="http://schemas.openxmlformats.org/officeDocument/2006/relationships/hyperlink" Target="https://www.sec.gov/Archives/edgar/data/1983550/000121390024105620/ea0223581-6k_trident.htm" TargetMode="External"/><Relationship Id="rId17" Type="http://schemas.openxmlformats.org/officeDocument/2006/relationships/hyperlink" Target="https://www.sec.gov/Archives/edgar/data/1983550/000121390024113642/ea0226382-6k_trident.htm" TargetMode="External"/><Relationship Id="rId18" Type="http://schemas.openxmlformats.org/officeDocument/2006/relationships/hyperlink" Target="https://www.sec.gov/Archives/edgar/data/1983550/000101376223005975/ea187192-8a12b_trident.htm" TargetMode="External"/><Relationship Id="rId22" Type="http://schemas.openxmlformats.org/officeDocument/2006/relationships/hyperlink" Target="https://www.sec.gov/Archives/edgar/data/1983550/000101376223001433/ff12023ex3-2_trident.htm" TargetMode="External"/><Relationship Id="rId23" Type="http://schemas.openxmlformats.org/officeDocument/2006/relationships/hyperlink" Target="https://www.sec.gov/Archives/edgar/data/1983550/000101376223004960/ff12023a1ex4-2_trident.htm" TargetMode="External"/><Relationship Id="rId24" Type="http://schemas.openxmlformats.org/officeDocument/2006/relationships/hyperlink" Target="https://www.sec.gov/Archives/edgar/data/1983550/000101376223001433/ff12023ex4-3_trident.htm" TargetMode="External"/><Relationship Id="rId25" Type="http://schemas.openxmlformats.org/officeDocument/2006/relationships/hyperlink" Target="https://www.sec.gov/Archives/edgar/data/1983550/000121390024105620/ea022358101ex99-3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2025-01-03T05:24:08Z</dcterms:created>
  <dcterms:modified xsi:type="dcterms:W3CDTF">2025-01-03T05:24:08Z</dcterms:modified>
</cp:coreProperties>
</file>