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9040" w:val="left"/>
        </w:tabs>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16, 2026</w:t>
      </w:r>
      <w:r>
        <w:rPr>
          <w:sz w:val="20"/>
          <w:szCs w:val="20"/>
          <w:color w:val="auto"/>
        </w:rPr>
        <w:tab/>
      </w:r>
      <w:r>
        <w:rPr>
          <w:rFonts w:ascii="Times New Roman" w:cs="Times New Roman" w:eastAsia="Times New Roman" w:hAnsi="Times New Roman"/>
          <w:sz w:val="18"/>
          <w:szCs w:val="18"/>
          <w:b w:val="1"/>
          <w:bCs w:val="1"/>
          <w:color w:val="auto"/>
        </w:rPr>
        <w:t>Registration No. 333-275089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F-6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 FOR AMERICAN DEPOSITARY SHARES EVIDENCED BY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color w:val="auto"/>
        </w:rPr>
        <w:t>____________</w:t>
      </w: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TRIDENT DIGITAL TECH HOLDINGS LTD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issuer of deposited securities as specified in its charter)</w:t>
      </w:r>
    </w:p>
    <w:p>
      <w:pPr>
        <w:spacing w:after="0" w:line="7"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color w:val="auto"/>
        </w:rPr>
        <w:t>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issuer’s name into English)</w:t>
      </w:r>
    </w:p>
    <w:p>
      <w:pPr>
        <w:spacing w:after="0" w:line="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color w:val="auto"/>
        </w:rPr>
        <w:t>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 of issuer</w:t>
      </w:r>
      <w:r>
        <w:rPr>
          <w:rFonts w:ascii="Times New Roman" w:cs="Times New Roman" w:eastAsia="Times New Roman" w:hAnsi="Times New Roman"/>
          <w:sz w:val="18"/>
          <w:szCs w:val="18"/>
          <w:b w:val="1"/>
          <w:bCs w:val="1"/>
          <w:color w:val="auto"/>
        </w:rPr>
        <w:t>)</w:t>
      </w:r>
    </w:p>
    <w:p>
      <w:pPr>
        <w:spacing w:after="0" w:line="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depositary as specified in its charter</w:t>
      </w:r>
      <w:r>
        <w:rPr>
          <w:rFonts w:ascii="Times New Roman" w:cs="Times New Roman" w:eastAsia="Times New Roman" w:hAnsi="Times New Roman"/>
          <w:sz w:val="18"/>
          <w:szCs w:val="18"/>
          <w:b w:val="1"/>
          <w:bCs w:val="1"/>
          <w:color w:val="auto"/>
        </w:rPr>
        <w:t>)</w:t>
      </w:r>
    </w:p>
    <w:p>
      <w:pPr>
        <w:spacing w:after="0" w:line="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color w:val="auto"/>
        </w:rPr>
        <w:t>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(877) 248-4237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depositary’s principal executive offices)</w:t>
      </w:r>
    </w:p>
    <w:p>
      <w:pPr>
        <w:spacing w:after="0" w:line="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color w:val="auto"/>
        </w:rPr>
        <w:t>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agent for service)</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954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w:t>
            </w:r>
          </w:p>
        </w:tc>
      </w:tr>
      <w:tr>
        <w:trPr>
          <w:trHeight w:val="432"/>
        </w:trPr>
        <w:tc>
          <w:tcPr>
            <w:tcW w:w="4880" w:type="dxa"/>
            <w:vAlign w:val="bottom"/>
          </w:tcPr>
          <w:p>
            <w:pPr>
              <w:spacing w:after="0"/>
              <w:rPr>
                <w:sz w:val="24"/>
                <w:szCs w:val="24"/>
                <w:color w:val="auto"/>
              </w:rPr>
            </w:pPr>
          </w:p>
        </w:tc>
        <w:tc>
          <w:tcPr>
            <w:tcW w:w="4660" w:type="dxa"/>
            <w:vAlign w:val="bottom"/>
          </w:tcPr>
          <w:p>
            <w:pPr>
              <w:jc w:val="center"/>
              <w:ind w:right="3070"/>
              <w:spacing w:after="0"/>
              <w:rPr>
                <w:sz w:val="20"/>
                <w:szCs w:val="20"/>
                <w:color w:val="auto"/>
              </w:rPr>
            </w:pPr>
            <w:r>
              <w:rPr>
                <w:rFonts w:ascii="Times New Roman" w:cs="Times New Roman" w:eastAsia="Times New Roman" w:hAnsi="Times New Roman"/>
                <w:sz w:val="18"/>
                <w:szCs w:val="18"/>
                <w:color w:val="auto"/>
              </w:rPr>
              <w:t>Copies to:</w:t>
            </w:r>
          </w:p>
        </w:tc>
      </w:tr>
      <w:tr>
        <w:trPr>
          <w:trHeight w:val="410"/>
        </w:trPr>
        <w:tc>
          <w:tcPr>
            <w:tcW w:w="488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Stephanie Tang, Esq.</w:t>
            </w:r>
          </w:p>
        </w:tc>
        <w:tc>
          <w:tcPr>
            <w:tcW w:w="466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8"/>
              </w:rPr>
              <w:t>Jason W. Parsont, Esq.</w:t>
            </w:r>
          </w:p>
        </w:tc>
      </w:tr>
      <w:tr>
        <w:trPr>
          <w:trHeight w:val="216"/>
        </w:trPr>
        <w:tc>
          <w:tcPr>
            <w:tcW w:w="488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Hogan Lovells</w:t>
            </w:r>
          </w:p>
        </w:tc>
        <w:tc>
          <w:tcPr>
            <w:tcW w:w="466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Mayer Brown LLP</w:t>
            </w:r>
          </w:p>
        </w:tc>
      </w:tr>
      <w:tr>
        <w:trPr>
          <w:trHeight w:val="216"/>
        </w:trPr>
        <w:tc>
          <w:tcPr>
            <w:tcW w:w="488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11th Floor, One Pacific Place</w:t>
            </w:r>
          </w:p>
        </w:tc>
        <w:tc>
          <w:tcPr>
            <w:tcW w:w="466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1221 Avenue of the Americas</w:t>
            </w:r>
          </w:p>
        </w:tc>
      </w:tr>
      <w:tr>
        <w:trPr>
          <w:trHeight w:val="216"/>
        </w:trPr>
        <w:tc>
          <w:tcPr>
            <w:tcW w:w="488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88 Queensway Road</w:t>
            </w:r>
          </w:p>
        </w:tc>
        <w:tc>
          <w:tcPr>
            <w:tcW w:w="466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7"/>
              </w:rPr>
              <w:t>New York, New York 10020</w:t>
            </w:r>
          </w:p>
        </w:tc>
      </w:tr>
      <w:tr>
        <w:trPr>
          <w:trHeight w:val="216"/>
        </w:trPr>
        <w:tc>
          <w:tcPr>
            <w:tcW w:w="488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Hong Kong</w:t>
            </w:r>
          </w:p>
        </w:tc>
        <w:tc>
          <w:tcPr>
            <w:tcW w:w="466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rPr>
              <w:t>(212) 506-2500</w:t>
            </w:r>
          </w:p>
        </w:tc>
      </w:tr>
      <w:tr>
        <w:trPr>
          <w:trHeight w:val="216"/>
        </w:trPr>
        <w:tc>
          <w:tcPr>
            <w:tcW w:w="488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+852 2219 0888</w:t>
            </w:r>
          </w:p>
        </w:tc>
        <w:tc>
          <w:tcPr>
            <w:tcW w:w="4660" w:type="dxa"/>
            <w:vAlign w:val="bottom"/>
          </w:tcPr>
          <w:p>
            <w:pPr>
              <w:spacing w:after="0"/>
              <w:rPr>
                <w:sz w:val="18"/>
                <w:szCs w:val="18"/>
                <w:color w:val="auto"/>
              </w:rPr>
            </w:pPr>
          </w:p>
        </w:tc>
      </w:tr>
      <w:tr>
        <w:trPr>
          <w:trHeight w:val="238"/>
        </w:trPr>
        <w:tc>
          <w:tcPr>
            <w:tcW w:w="954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w:t>
            </w:r>
          </w:p>
        </w:tc>
      </w:tr>
      <w:tr>
        <w:trPr>
          <w:trHeight w:val="46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tc>
        <w:tc>
          <w:tcPr>
            <w:tcW w:w="4660" w:type="dxa"/>
            <w:vAlign w:val="bottom"/>
          </w:tcPr>
          <w:p>
            <w:pPr>
              <w:ind w:left="7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immediately upon filing.</w:t>
            </w:r>
          </w:p>
        </w:tc>
      </w:tr>
      <w:tr>
        <w:trPr>
          <w:trHeight w:val="432"/>
        </w:trPr>
        <w:tc>
          <w:tcPr>
            <w:tcW w:w="4880" w:type="dxa"/>
            <w:vAlign w:val="bottom"/>
          </w:tcPr>
          <w:p>
            <w:pPr>
              <w:spacing w:after="0"/>
              <w:rPr>
                <w:sz w:val="24"/>
                <w:szCs w:val="24"/>
                <w:color w:val="auto"/>
              </w:rPr>
            </w:pPr>
          </w:p>
        </w:tc>
        <w:tc>
          <w:tcPr>
            <w:tcW w:w="4660" w:type="dxa"/>
            <w:vAlign w:val="bottom"/>
          </w:tcPr>
          <w:p>
            <w:pPr>
              <w:ind w:left="7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(Date) at (Time).</w:t>
            </w:r>
          </w:p>
        </w:tc>
      </w:tr>
    </w:tbl>
    <w:p>
      <w:pPr>
        <w:spacing w:after="0" w:line="12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p>
      <w:pPr>
        <w:spacing w:after="0" w:line="7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01"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Post-Effective Amendment No. 2 to Registration Statement on such date or dates as may be necessary to delay its effective date until the Registrant shall file a further amendment which specifically states that this Post-Effective Amendment No. 2 to Registration Statement shall thereafter become effective in accordance with Section 8(a) of the Securities Act of 1933, or until this Post-Effective Amendment No. 2 to Registration Statement shall become effective on such date as the Commission, acting pursuant to said Section 8(a), may determine.</w:t>
      </w:r>
    </w:p>
    <w:p>
      <w:pPr>
        <w:spacing w:after="0" w:line="18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Post-Effective Amendment No. 2 to Registration Statement on Form F-6 may be executed in any number of counterparts, each of which shall be deemed an original, and all of such counterparts together shall constitute one and the same instrument.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451"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INFORMATION REQUIRED IN PROSPECTUS</w:t>
      </w: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Reference Sheet</w:t>
      </w:r>
    </w:p>
    <w:p>
      <w:pPr>
        <w:sectPr>
          <w:pgSz w:w="11900" w:h="16838" w:orient="portrait"/>
          <w:cols w:equalWidth="0" w:num="1">
            <w:col w:w="11220"/>
          </w:cols>
          <w:pgMar w:left="320" w:top="792" w:right="359" w:bottom="1440" w:gutter="0" w:footer="0" w:header="0"/>
        </w:sectPr>
      </w:pP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DESCRIPTION OF SECURITIES TO BE REGISTERED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Number and Caption</w:t>
      </w:r>
    </w:p>
    <w:p>
      <w:pPr>
        <w:spacing w:after="0" w:line="229" w:lineRule="exact"/>
        <w:rPr>
          <w:sz w:val="20"/>
          <w:szCs w:val="20"/>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Depositary and address of its principal executive office</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Receipts and identity of deposited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Deposit:</w:t>
      </w:r>
    </w:p>
    <w:p>
      <w:pPr>
        <w:spacing w:after="0" w:line="225" w:lineRule="exact"/>
        <w:rPr>
          <w:sz w:val="20"/>
          <w:szCs w:val="20"/>
          <w:color w:val="auto"/>
        </w:rPr>
      </w:pPr>
    </w:p>
    <w:p>
      <w:pPr>
        <w:ind w:left="580" w:right="360" w:hanging="572"/>
        <w:spacing w:after="0" w:line="282"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deposited securities represented by one American Depositary Share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voting, if any, the deposited securities</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and distribution of dividends</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transmission of notices, reports and proxy soliciting material</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exercise of rights</w:t>
      </w:r>
    </w:p>
    <w:p>
      <w:pPr>
        <w:spacing w:after="0" w:line="225" w:lineRule="exact"/>
        <w:rPr>
          <w:rFonts w:ascii="Times New Roman" w:cs="Times New Roman" w:eastAsia="Times New Roman" w:hAnsi="Times New Roman"/>
          <w:sz w:val="18"/>
          <w:szCs w:val="18"/>
          <w:color w:val="auto"/>
        </w:rPr>
      </w:pPr>
    </w:p>
    <w:p>
      <w:pPr>
        <w:ind w:left="580" w:right="280" w:hanging="572"/>
        <w:spacing w:after="0" w:line="282"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or sale of securities resulting from dividends, splits or plans of reorganization</w:t>
      </w:r>
    </w:p>
    <w:p>
      <w:pPr>
        <w:spacing w:after="0" w:line="16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extension or termination of the deposit agreement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80" w:right="420" w:hanging="572"/>
        <w:spacing w:after="0" w:line="282"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Receipts to inspect the transfer books of the Depositary and the list of holders of ADSs</w:t>
      </w:r>
    </w:p>
    <w:p>
      <w:pPr>
        <w:spacing w:after="0" w:line="161" w:lineRule="exact"/>
        <w:rPr>
          <w:rFonts w:ascii="Times New Roman" w:cs="Times New Roman" w:eastAsia="Times New Roman" w:hAnsi="Times New Roman"/>
          <w:sz w:val="18"/>
          <w:szCs w:val="18"/>
          <w:color w:val="auto"/>
        </w:rPr>
      </w:pPr>
    </w:p>
    <w:p>
      <w:pPr>
        <w:ind w:left="580" w:right="380" w:hanging="572"/>
        <w:spacing w:after="0" w:line="282"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upon the right to deposit or withdraw the underlying securities</w:t>
      </w:r>
    </w:p>
    <w:p>
      <w:pPr>
        <w:spacing w:after="0" w:line="16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upon the liability of the Depositary</w:t>
      </w:r>
    </w:p>
    <w:p>
      <w:pPr>
        <w:spacing w:after="0" w:line="200" w:lineRule="exact"/>
        <w:rPr>
          <w:sz w:val="20"/>
          <w:szCs w:val="20"/>
          <w:color w:val="auto"/>
        </w:rPr>
      </w:pPr>
    </w:p>
    <w:p>
      <w:pPr>
        <w:spacing w:after="0" w:line="241" w:lineRule="exact"/>
        <w:rPr>
          <w:sz w:val="20"/>
          <w:szCs w:val="20"/>
          <w:color w:val="auto"/>
        </w:rPr>
      </w:pPr>
    </w:p>
    <w:p>
      <w:pPr>
        <w:ind w:left="580" w:right="360" w:hanging="572"/>
        <w:spacing w:after="0" w:line="282"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charges which may be imposed directly or indirectly on holders of ADSs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Receipt (“</w:t>
      </w:r>
      <w:r>
        <w:rPr>
          <w:rFonts w:ascii="Times New Roman" w:cs="Times New Roman" w:eastAsia="Times New Roman" w:hAnsi="Times New Roman"/>
          <w:sz w:val="18"/>
          <w:szCs w:val="18"/>
          <w:b w:val="1"/>
          <w:bCs w:val="1"/>
          <w:u w:val="single" w:color="auto"/>
          <w:color w:val="auto"/>
        </w:rPr>
        <w:t>Receipt</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Filed Herewith as Prospectus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Introductory Article.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Top Center.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Upper right corner.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(17) and (18).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 (15).</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 (14); </w:t>
      </w: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 (18).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(15) and (17).</w:t>
      </w:r>
    </w:p>
    <w:p>
      <w:pPr>
        <w:spacing w:after="0" w:line="225" w:lineRule="exact"/>
        <w:rPr>
          <w:sz w:val="20"/>
          <w:szCs w:val="20"/>
          <w:color w:val="auto"/>
        </w:rPr>
      </w:pPr>
    </w:p>
    <w:p>
      <w:pPr>
        <w:ind w:right="1640"/>
        <w:spacing w:after="0" w:line="312" w:lineRule="auto"/>
        <w:rPr>
          <w:sz w:val="20"/>
          <w:szCs w:val="20"/>
          <w:color w:val="auto"/>
        </w:rPr>
      </w:pPr>
      <w:r>
        <w:rPr>
          <w:rFonts w:ascii="Times New Roman" w:cs="Times New Roman" w:eastAsia="Times New Roman" w:hAnsi="Times New Roman"/>
          <w:sz w:val="17"/>
          <w:szCs w:val="17"/>
          <w:u w:val="single" w:color="auto"/>
          <w:color w:val="auto"/>
        </w:rPr>
        <w:t>Face of Receipt</w:t>
      </w:r>
      <w:r>
        <w:rPr>
          <w:rFonts w:ascii="Times New Roman" w:cs="Times New Roman" w:eastAsia="Times New Roman" w:hAnsi="Times New Roman"/>
          <w:sz w:val="17"/>
          <w:szCs w:val="17"/>
          <w:color w:val="auto"/>
        </w:rPr>
        <w:t xml:space="preserve"> - Paragraphs (3) and (6); </w:t>
      </w:r>
      <w:r>
        <w:rPr>
          <w:rFonts w:ascii="Times New Roman" w:cs="Times New Roman" w:eastAsia="Times New Roman" w:hAnsi="Times New Roman"/>
          <w:sz w:val="17"/>
          <w:szCs w:val="17"/>
          <w:u w:val="single" w:color="auto"/>
          <w:color w:val="auto"/>
        </w:rPr>
        <w:t>Reverse of Receipt</w:t>
      </w:r>
      <w:r>
        <w:rPr>
          <w:rFonts w:ascii="Times New Roman" w:cs="Times New Roman" w:eastAsia="Times New Roman" w:hAnsi="Times New Roman"/>
          <w:sz w:val="17"/>
          <w:szCs w:val="17"/>
          <w:color w:val="auto"/>
        </w:rPr>
        <w:t xml:space="preserve"> – Paragraphs (15) and (17).</w:t>
      </w:r>
    </w:p>
    <w:p>
      <w:pPr>
        <w:spacing w:after="0" w:line="1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(23) and (24) (no provision for extensions).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 (14).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Paragraphs (2), (3), (4), (6), (7), (9) and (10).</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 (8); </w:t>
      </w: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(20) and (21).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 (11).</w:t>
      </w:r>
    </w:p>
    <w:p>
      <w:pPr>
        <w:spacing w:after="0" w:line="479" w:lineRule="exact"/>
        <w:rPr>
          <w:sz w:val="20"/>
          <w:szCs w:val="20"/>
          <w:color w:val="auto"/>
        </w:rPr>
      </w:pPr>
    </w:p>
    <w:p>
      <w:pPr>
        <w:sectPr>
          <w:pgSz w:w="11900" w:h="16838" w:orient="portrait"/>
          <w:cols w:equalWidth="0" w:num="2">
            <w:col w:w="5620" w:space="580"/>
            <w:col w:w="5020"/>
          </w:cols>
          <w:pgMar w:left="320" w:top="792" w:right="359" w:bottom="1440" w:gutter="0" w:footer="0" w:header="0"/>
          <w:type w:val="continuous"/>
        </w:sect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type w:val="continuous"/>
        </w:sectPr>
      </w:pPr>
    </w:p>
    <w:bookmarkStart w:id="2" w:name="page3"/>
    <w:bookmarkEnd w:id="2"/>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AVAILABLE INFORMATION</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These reports can be retrieved from the Commission’s internet website (www.sec.gov), and can be inspected and copied at the public reference facilities maintained by the Commission at 100 F Street, N.E., Washington D.C. 20549.</w:t>
      </w:r>
    </w:p>
    <w:p>
      <w:pPr>
        <w:spacing w:after="0" w:line="2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792" w:right="5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Prospectus consists of the proposed form of American Depositary Receipt included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Form of Amendment No. 2 to the Deposit Agreement filed as Exhibit (a)(iii) to this Post-Effective Amendment No. 2 to the Registration Statement on Form F-6 and is incorporated herein by reference.</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940" w:type="dxa"/>
            <w:vAlign w:val="bottom"/>
            <w:gridSpan w:val="4"/>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7"/>
              </w:rPr>
              <w:t>PART II</w:t>
            </w:r>
          </w:p>
        </w:tc>
      </w:tr>
      <w:tr>
        <w:trPr>
          <w:trHeight w:val="432"/>
        </w:trPr>
        <w:tc>
          <w:tcPr>
            <w:tcW w:w="6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960" w:type="dxa"/>
            <w:vAlign w:val="bottom"/>
            <w:gridSpan w:val="6"/>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INFORMATION NOT REQUIRED IN PROSPECTUS</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580" w:type="dxa"/>
            <w:vAlign w:val="bottom"/>
            <w:gridSpan w:val="7"/>
          </w:tcPr>
          <w:p>
            <w:pPr>
              <w:ind w:left="5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(a)(i)</w:t>
            </w:r>
          </w:p>
        </w:tc>
        <w:tc>
          <w:tcPr>
            <w:tcW w:w="1058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Deposit Agreement, dated as of September 11, 2024, by and among the Company, the Depositary, and all Holders and Beneficial Owners of</w:t>
            </w:r>
          </w:p>
        </w:tc>
      </w:tr>
      <w:tr>
        <w:trPr>
          <w:trHeight w:val="194"/>
        </w:trPr>
        <w:tc>
          <w:tcPr>
            <w:tcW w:w="600" w:type="dxa"/>
            <w:vAlign w:val="bottom"/>
          </w:tcPr>
          <w:p>
            <w:pPr>
              <w:spacing w:after="0"/>
              <w:rPr>
                <w:sz w:val="16"/>
                <w:szCs w:val="16"/>
                <w:color w:val="auto"/>
              </w:rPr>
            </w:pPr>
          </w:p>
        </w:tc>
        <w:tc>
          <w:tcPr>
            <w:tcW w:w="10580" w:type="dxa"/>
            <w:vAlign w:val="bottom"/>
            <w:gridSpan w:val="7"/>
          </w:tcPr>
          <w:p>
            <w:pPr>
              <w:ind w:left="60"/>
              <w:spacing w:after="0" w:line="194" w:lineRule="exact"/>
              <w:rPr>
                <w:sz w:val="20"/>
                <w:szCs w:val="20"/>
                <w:color w:val="auto"/>
              </w:rPr>
            </w:pPr>
            <w:r>
              <w:rPr>
                <w:rFonts w:ascii="Times New Roman" w:cs="Times New Roman" w:eastAsia="Times New Roman" w:hAnsi="Times New Roman"/>
                <w:sz w:val="18"/>
                <w:szCs w:val="18"/>
                <w:color w:val="auto"/>
              </w:rPr>
              <w:t>American Depositary Shares issued thereunder (“Deposit Agreement”).</w:t>
            </w:r>
          </w:p>
        </w:tc>
      </w:tr>
      <w:tr>
        <w:trPr>
          <w:trHeight w:val="20"/>
        </w:trPr>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00"/>
        </w:trPr>
        <w:tc>
          <w:tcPr>
            <w:tcW w:w="600" w:type="dxa"/>
            <w:vAlign w:val="bottom"/>
          </w:tcPr>
          <w:p>
            <w:pPr>
              <w:spacing w:after="0"/>
              <w:rPr>
                <w:sz w:val="24"/>
                <w:szCs w:val="24"/>
                <w:color w:val="auto"/>
              </w:rPr>
            </w:pPr>
          </w:p>
        </w:tc>
        <w:tc>
          <w:tcPr>
            <w:tcW w:w="10580" w:type="dxa"/>
            <w:vAlign w:val="bottom"/>
            <w:gridSpan w:val="7"/>
          </w:tcPr>
          <w:p>
            <w:pPr>
              <w:ind w:left="60"/>
              <w:spacing w:after="0"/>
              <w:rPr>
                <w:sz w:val="20"/>
                <w:szCs w:val="20"/>
                <w:color w:val="auto"/>
              </w:rPr>
            </w:pP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Previously filed as Exhibit (a)(ii) to Form F-6 (File No. 333-275089) and incorporated herein by reference.</w:t>
            </w:r>
          </w:p>
        </w:tc>
      </w:tr>
      <w:tr>
        <w:trPr>
          <w:trHeight w:val="26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(a)(ii)</w:t>
            </w:r>
          </w:p>
        </w:tc>
        <w:tc>
          <w:tcPr>
            <w:tcW w:w="1058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w w:val="99"/>
              </w:rPr>
              <w:t>Form of Amendment No. 1 to Deposit Agreement, dated as of April 24, 2026, by and among Trident Digital Tech Holdings Ltd (the “Company”),</w:t>
            </w:r>
          </w:p>
        </w:tc>
      </w:tr>
      <w:tr>
        <w:trPr>
          <w:trHeight w:val="20"/>
        </w:trPr>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30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p>
        </w:tc>
        <w:tc>
          <w:tcPr>
            <w:tcW w:w="10580" w:type="dxa"/>
            <w:vAlign w:val="bottom"/>
            <w:gridSpan w:val="7"/>
          </w:tcPr>
          <w:p>
            <w:pPr>
              <w:ind w:left="60"/>
              <w:spacing w:after="0" w:line="236" w:lineRule="exact"/>
              <w:rPr>
                <w:sz w:val="20"/>
                <w:szCs w:val="20"/>
                <w:color w:val="auto"/>
              </w:rPr>
            </w:pPr>
            <w:r>
              <w:rPr>
                <w:rFonts w:ascii="Times New Roman" w:cs="Times New Roman" w:eastAsia="Times New Roman" w:hAnsi="Times New Roman"/>
                <w:sz w:val="17"/>
                <w:szCs w:val="17"/>
                <w:color w:val="auto"/>
              </w:rPr>
              <w:t xml:space="preserve">Citibank, N.A., as depositary (the “Depositary”), and all Holders and Beneficial Owners of American Depositary Shares issued thereunder. </w:t>
            </w:r>
            <w:r>
              <w:rPr>
                <w:rFonts w:ascii="Times New Roman" w:cs="Times New Roman" w:eastAsia="Times New Roman" w:hAnsi="Times New Roman"/>
                <w:sz w:val="27"/>
                <w:szCs w:val="27"/>
                <w:color w:val="auto"/>
                <w:vertAlign w:val="superscript"/>
              </w:rPr>
              <w:t>___</w:t>
            </w:r>
          </w:p>
        </w:tc>
      </w:tr>
      <w:tr>
        <w:trPr>
          <w:trHeight w:val="20"/>
        </w:trPr>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180" w:type="dxa"/>
            <w:vAlign w:val="bottom"/>
            <w:gridSpan w:val="5"/>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p>
        </w:tc>
        <w:tc>
          <w:tcPr>
            <w:tcW w:w="1058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Previously filed as Exhibit (a)(i) to Form F-6 (File No. 333-275089) and incorporated herein by reference.</w:t>
            </w:r>
          </w:p>
        </w:tc>
      </w:tr>
      <w:tr>
        <w:trPr>
          <w:trHeight w:val="41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(a)(iii)</w:t>
            </w:r>
          </w:p>
        </w:tc>
        <w:tc>
          <w:tcPr>
            <w:tcW w:w="1058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Form of Amendment No. 2 to Deposit Agreement, by and among the Company, the Depositary, and all Holders and Beneficial Owners of</w:t>
            </w:r>
          </w:p>
        </w:tc>
      </w:tr>
      <w:tr>
        <w:trPr>
          <w:trHeight w:val="394"/>
        </w:trPr>
        <w:tc>
          <w:tcPr>
            <w:tcW w:w="600" w:type="dxa"/>
            <w:vAlign w:val="bottom"/>
          </w:tcPr>
          <w:p>
            <w:pPr>
              <w:spacing w:after="0"/>
              <w:rPr>
                <w:sz w:val="24"/>
                <w:szCs w:val="24"/>
                <w:color w:val="auto"/>
              </w:rPr>
            </w:pPr>
          </w:p>
        </w:tc>
        <w:tc>
          <w:tcPr>
            <w:tcW w:w="1058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 xml:space="preserve">American Depositary Shares issued thereunder.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Filed herewith as Exhibit (a)(iii).</w:t>
            </w:r>
          </w:p>
        </w:tc>
      </w:tr>
    </w:tbl>
    <w:p>
      <w:pPr>
        <w:spacing w:after="0" w:line="75" w:lineRule="exact"/>
        <w:rPr>
          <w:sz w:val="20"/>
          <w:szCs w:val="20"/>
          <w:color w:val="auto"/>
        </w:rPr>
      </w:pPr>
    </w:p>
    <w:p>
      <w:pPr>
        <w:ind w:left="660" w:right="320" w:hanging="652"/>
        <w:spacing w:after="0" w:line="29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agreement to which the Depositary is a party relating to the issuance of the American Depositary Shares registered hereunder or the custody of the deposited securities represented thereby.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30" w:lineRule="exact"/>
        <w:rPr>
          <w:rFonts w:ascii="Times New Roman" w:cs="Times New Roman" w:eastAsia="Times New Roman" w:hAnsi="Times New Roman"/>
          <w:sz w:val="18"/>
          <w:szCs w:val="18"/>
          <w:color w:val="auto"/>
        </w:rPr>
      </w:pPr>
    </w:p>
    <w:p>
      <w:pPr>
        <w:ind w:left="660" w:right="200" w:hanging="652"/>
        <w:spacing w:after="0" w:line="29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material contract relating to the deposited securities between the Depositary and the issuer of the deposited securities in effect at any time within the last three years.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1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Opinion of counsel for the Depositary as to the legality of the securities to be registered.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77" w:lineRule="exact"/>
        <w:rPr>
          <w:rFonts w:ascii="Times New Roman" w:cs="Times New Roman" w:eastAsia="Times New Roman" w:hAnsi="Times New Roman"/>
          <w:sz w:val="36"/>
          <w:szCs w:val="36"/>
          <w:color w:val="auto"/>
          <w:vertAlign w:val="superscript"/>
        </w:rPr>
      </w:pPr>
    </w:p>
    <w:p>
      <w:pPr>
        <w:ind w:left="660" w:hanging="652"/>
        <w:spacing w:after="0" w:line="229" w:lineRule="auto"/>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Certificate under Rule 466.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78" w:lineRule="exact"/>
        <w:rPr>
          <w:rFonts w:ascii="Times New Roman" w:cs="Times New Roman" w:eastAsia="Times New Roman" w:hAnsi="Times New Roman"/>
          <w:sz w:val="36"/>
          <w:szCs w:val="36"/>
          <w:color w:val="auto"/>
          <w:vertAlign w:val="superscript"/>
        </w:rPr>
      </w:pPr>
    </w:p>
    <w:p>
      <w:pPr>
        <w:ind w:left="660" w:right="360" w:hanging="652"/>
        <w:spacing w:after="0" w:line="188" w:lineRule="auto"/>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Powers of Attorney for certain officers and directors and the authorized representative of the Company.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Previously filed as set forth on the signature page of Form F-6 (File No. 333-275089) and incorporated herein by reference.</w:t>
      </w:r>
    </w:p>
    <w:p>
      <w:pPr>
        <w:spacing w:after="0" w:line="19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jc w:val="both"/>
        <w:ind w:left="560" w:hanging="552"/>
        <w:spacing w:after="0" w:line="266" w:lineRule="auto"/>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hereby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5" w:lineRule="exact"/>
        <w:rPr>
          <w:rFonts w:ascii="Times New Roman" w:cs="Times New Roman" w:eastAsia="Times New Roman" w:hAnsi="Times New Roman"/>
          <w:sz w:val="18"/>
          <w:szCs w:val="18"/>
          <w:color w:val="auto"/>
        </w:rPr>
      </w:pPr>
    </w:p>
    <w:p>
      <w:pPr>
        <w:jc w:val="both"/>
        <w:ind w:left="560" w:hanging="552"/>
        <w:spacing w:after="0" w:line="266" w:lineRule="auto"/>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Citibank, N.A., acting solely on behalf of the legal entity created by the Deposit Agreement, by and among Trident Digital Tech Holdings Ltd, Citibank, N.A., as depositary, and all Holders and Beneficial Owners from time to time of American Depositary Shares issued thereunder, as amended, certifies that it has reasonable grounds to believe that all the requirements for filing on Form F-6 are met and has duly caused this Post-Effective Amendment No. 2 to Registration Statement on Form F-6 to be signed on its behalf by the undersigned, thereunto duly authorized, in the City of New York, State of New York, on June 16, 2026.</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Legal entity created by the Deposit Agreement under which the American Depositary Shares registered hereunder are to be issued, each American Depositary Share representing the right to receive two hundred forty (240) Class B ordinary shares of Trident Digital Tech Holdings Ltd.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CITIBANK, N.A., solely in its capacity as Depositary</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Karen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Karen Wu</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Trident Digital Tech Holdings Ltd, certifies that it has reasonable grounds to believe that all the requirements for filing on Form F-6 are met and has duly caused this Post-Effective Amendment No. 2 to Registration Statement on Form F-6 to be signed on its behalf by the undersigned thereunto duly authorized, in Singapore, on June 16,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7" w:name="page8"/>
    <w:bookmarkEnd w:id="7"/>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Post-Effective Amendment No. 2 to Registration Statement on Form F-6 has been signed by the following persons in the following capacities on June 16, 2026.</w:t>
      </w:r>
    </w:p>
    <w:p>
      <w:pPr>
        <w:spacing w:after="0" w:line="162"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u w:val="single" w:color="auto"/>
          <w:color w:val="auto"/>
        </w:rPr>
        <w:t>Signature</w:t>
      </w:r>
      <w:r>
        <w:rPr>
          <w:sz w:val="20"/>
          <w:szCs w:val="20"/>
          <w:color w:val="auto"/>
        </w:rPr>
        <w:tab/>
      </w:r>
      <w:r>
        <w:rPr>
          <w:rFonts w:ascii="Times New Roman" w:cs="Times New Roman" w:eastAsia="Times New Roman" w:hAnsi="Times New Roman"/>
          <w:sz w:val="18"/>
          <w:szCs w:val="18"/>
          <w:u w:val="single" w:color="auto"/>
          <w:color w:val="auto"/>
        </w:rPr>
        <w:t>Title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7"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/s/ Soon Huat Lim</w:t>
      </w:r>
      <w:r>
        <w:rPr>
          <w:sz w:val="20"/>
          <w:szCs w:val="20"/>
          <w:color w:val="auto"/>
        </w:rPr>
        <w:tab/>
      </w: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18"/>
          <w:szCs w:val="18"/>
          <w:color w:val="auto"/>
        </w:rPr>
        <w:t>/s/ Haiyan Huang (Principal Financial Officer and Principal Accounting Officer) Name: Haiyan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9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8"/>
              </w:rPr>
              <w:t>Director and Chief Technology Officer</w:t>
            </w:r>
          </w:p>
        </w:tc>
      </w:tr>
      <w:tr>
        <w:trPr>
          <w:trHeight w:val="228"/>
        </w:trPr>
        <w:tc>
          <w:tcPr>
            <w:tcW w:w="5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Poh Kiong Tan</w:t>
            </w:r>
          </w:p>
        </w:tc>
        <w:tc>
          <w:tcPr>
            <w:tcW w:w="3920" w:type="dxa"/>
            <w:vAlign w:val="bottom"/>
          </w:tcPr>
          <w:p>
            <w:pPr>
              <w:spacing w:after="0"/>
              <w:rPr>
                <w:sz w:val="19"/>
                <w:szCs w:val="19"/>
                <w:color w:val="auto"/>
              </w:rPr>
            </w:pPr>
          </w:p>
        </w:tc>
      </w:tr>
      <w:tr>
        <w:trPr>
          <w:trHeight w:val="414"/>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How Teck Lim</w:t>
            </w:r>
          </w:p>
        </w:tc>
        <w:tc>
          <w:tcPr>
            <w:tcW w:w="3920" w:type="dxa"/>
            <w:vAlign w:val="bottom"/>
          </w:tcPr>
          <w:p>
            <w:pPr>
              <w:spacing w:after="0"/>
              <w:rPr>
                <w:sz w:val="19"/>
                <w:szCs w:val="19"/>
                <w:color w:val="auto"/>
              </w:rPr>
            </w:pPr>
          </w:p>
        </w:tc>
      </w:tr>
      <w:tr>
        <w:trPr>
          <w:trHeight w:val="414"/>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Noi Keng Koh</w:t>
            </w:r>
          </w:p>
        </w:tc>
        <w:tc>
          <w:tcPr>
            <w:tcW w:w="3920" w:type="dxa"/>
            <w:vAlign w:val="bottom"/>
          </w:tcPr>
          <w:p>
            <w:pPr>
              <w:spacing w:after="0"/>
              <w:rPr>
                <w:sz w:val="19"/>
                <w:szCs w:val="19"/>
                <w:color w:val="auto"/>
              </w:rPr>
            </w:pPr>
          </w:p>
        </w:tc>
      </w:tr>
      <w:tr>
        <w:trPr>
          <w:trHeight w:val="414"/>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Chwee Koh Chua</w:t>
            </w:r>
          </w:p>
        </w:tc>
        <w:tc>
          <w:tcPr>
            <w:tcW w:w="3920" w:type="dxa"/>
            <w:vAlign w:val="bottom"/>
          </w:tcPr>
          <w:p>
            <w:pPr>
              <w:spacing w:after="0"/>
              <w:rPr>
                <w:sz w:val="19"/>
                <w:szCs w:val="19"/>
                <w:color w:val="auto"/>
              </w:rPr>
            </w:pPr>
          </w:p>
        </w:tc>
      </w:tr>
      <w:tr>
        <w:trPr>
          <w:trHeight w:val="630"/>
        </w:trPr>
        <w:tc>
          <w:tcPr>
            <w:tcW w:w="8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/s/ Soon Huat Lim</w:t>
            </w:r>
          </w:p>
        </w:tc>
      </w:tr>
      <w:tr>
        <w:trPr>
          <w:trHeight w:val="191"/>
        </w:trPr>
        <w:tc>
          <w:tcPr>
            <w:tcW w:w="460" w:type="dxa"/>
            <w:vAlign w:val="bottom"/>
          </w:tcPr>
          <w:p>
            <w:pPr>
              <w:spacing w:after="0"/>
              <w:rPr>
                <w:sz w:val="16"/>
                <w:szCs w:val="16"/>
                <w:color w:val="auto"/>
              </w:rPr>
            </w:pPr>
          </w:p>
        </w:tc>
        <w:tc>
          <w:tcPr>
            <w:tcW w:w="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Soon Huat Lim</w:t>
            </w:r>
          </w:p>
        </w:tc>
        <w:tc>
          <w:tcPr>
            <w:tcW w:w="3940" w:type="dxa"/>
            <w:vAlign w:val="bottom"/>
            <w:gridSpan w:val="2"/>
          </w:tcPr>
          <w:p>
            <w:pPr>
              <w:spacing w:after="0"/>
              <w:rPr>
                <w:sz w:val="16"/>
                <w:szCs w:val="16"/>
                <w:color w:val="auto"/>
              </w:rPr>
            </w:pPr>
          </w:p>
        </w:tc>
      </w:tr>
      <w:tr>
        <w:trPr>
          <w:trHeight w:val="234"/>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 OF AUTHORIZED REPRESENTATIVE OF THE REGISTRANT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Trident Digital Tech Holdings Ltd has signed this Post-Effective Amendment No. 2 to Registration Statement on Form F-6 in New York, New York on June 16,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Representative in the 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4942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Senior Vice-President on behalf of Cogency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Global Inc.</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430"/>
        </w:trPr>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Sequentially</w:t>
            </w:r>
          </w:p>
        </w:tc>
      </w:tr>
      <w:tr>
        <w:trPr>
          <w:trHeight w:val="198"/>
        </w:trPr>
        <w:tc>
          <w:tcPr>
            <w:tcW w:w="840" w:type="dxa"/>
            <w:vAlign w:val="bottom"/>
          </w:tcPr>
          <w:p>
            <w:pPr>
              <w:spacing w:after="0"/>
              <w:rPr>
                <w:sz w:val="17"/>
                <w:szCs w:val="17"/>
                <w:color w:val="auto"/>
              </w:rPr>
            </w:pPr>
          </w:p>
        </w:tc>
        <w:tc>
          <w:tcPr>
            <w:tcW w:w="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820" w:type="dxa"/>
            <w:vAlign w:val="bottom"/>
          </w:tcPr>
          <w:p>
            <w:pPr>
              <w:spacing w:after="0"/>
              <w:rPr>
                <w:sz w:val="17"/>
                <w:szCs w:val="17"/>
                <w:color w:val="auto"/>
              </w:rPr>
            </w:pPr>
          </w:p>
        </w:tc>
        <w:tc>
          <w:tcPr>
            <w:tcW w:w="8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Document</w:t>
            </w:r>
          </w:p>
        </w:tc>
        <w:tc>
          <w:tcPr>
            <w:tcW w:w="324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4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Numbered Page</w:t>
            </w:r>
          </w:p>
        </w:tc>
      </w:tr>
      <w:tr>
        <w:trPr>
          <w:trHeight w:val="20"/>
        </w:trPr>
        <w:tc>
          <w:tcPr>
            <w:tcW w:w="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453"/>
        </w:trPr>
        <w:tc>
          <w:tcPr>
            <w:tcW w:w="8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(a)(iii)</w:t>
            </w:r>
          </w:p>
        </w:tc>
        <w:tc>
          <w:tcPr>
            <w:tcW w:w="820" w:type="dxa"/>
            <w:vAlign w:val="bottom"/>
          </w:tcPr>
          <w:p>
            <w:pPr>
              <w:spacing w:after="0"/>
              <w:rPr>
                <w:sz w:val="24"/>
                <w:szCs w:val="24"/>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Amendment No. 2 to Deposit Agreement</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432"/>
        </w:trPr>
        <w:tc>
          <w:tcPr>
            <w:tcW w:w="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II-9</w:t>
            </w: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Depositary,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jc w:val="center"/>
        <w:ind w:left="2080" w:right="2079"/>
        <w:spacing w:after="0" w:line="255" w:lineRule="auto"/>
        <w:rPr>
          <w:sz w:val="20"/>
          <w:szCs w:val="20"/>
          <w:color w:val="auto"/>
        </w:rPr>
      </w:pPr>
      <w:r>
        <w:rPr>
          <w:rFonts w:ascii="Times New Roman" w:cs="Times New Roman" w:eastAsia="Times New Roman" w:hAnsi="Times New Roman"/>
          <w:sz w:val="18"/>
          <w:szCs w:val="18"/>
          <w:color w:val="auto"/>
        </w:rPr>
        <w:t>ALL HOLDERS AND BENEFICIAL OWNERS OF AMERICAN DEPOSITARY SHARES OUTSTANDING UNDER THE TERMS OF THE DEPOSIT AGREEMENT, DATED AS OF SEPTEMBER 11, 2024</w:t>
      </w:r>
    </w:p>
    <w:p>
      <w:pPr>
        <w:spacing w:after="0" w:line="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July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386080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72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20" w:type="dxa"/>
            <w:vAlign w:val="bottom"/>
          </w:tcPr>
          <w:p>
            <w:pPr>
              <w:spacing w:after="0"/>
              <w:rPr>
                <w:sz w:val="24"/>
                <w:szCs w:val="24"/>
                <w:color w:val="auto"/>
              </w:rPr>
            </w:pPr>
          </w:p>
        </w:tc>
        <w:tc>
          <w:tcPr>
            <w:tcW w:w="2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 Definitions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 Effective Date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AMENDMENTS TO DEPOSIT AGREEMENT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2.1 Deposit Agreement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2.2 Amendments Binding on all Holders and Beneficial Owners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2.3 Mandatory Exchange Termination Provision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AMENDMENTS TO THE FORM OF ADR</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3.1 ADR Amendments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REPRESENTATIONS AND WARRANTIES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4.1 Representations and Warranties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MISCELLANEOUS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5.1 New ADRs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5.2 Notice of Amendment to Holders of ADSs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5.3 Indemnification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5.4 Ratification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5.5 Governing Law</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5.6 Counterparts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 FORM OF RECEIPT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B FORM OF DEPOSITARY NOTICE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NO. 2 TO DEPOSIT AGREEMENT</w:t>
      </w:r>
    </w:p>
    <w:p>
      <w:pPr>
        <w:spacing w:after="0" w:line="225"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AMENDMENT NO. 2 TO DEPOSIT AGREEMENT dated as of July 16, 2026 (“</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by and among Trident Digital Tech Holdings Ltd, an exempted company incorporated with limited liability under the laws of the Cayman Islands,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 national banking association organized under the laws of the United States of America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issued pursuant to, and outstanding as of the date hereof under, the Deposit Agreement (as hereinafter defined).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 THAT: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Depositary entered into that certain Deposit Agreement, dated as of September 11, 2024,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Amendment No. 1 to Deposit Agreement, dated as of April 24, 2026 (as so amended,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for the creation of ADSs (as defined in the Deposit Agreement) representing the Shares (as defined in the Deposit Agreement) deposited thereunder and for the execution and delivery of American Depositary Receipts (“</w:t>
      </w: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in respect of the ADSs issued in certificated form; and</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(a) include a mandatory cancellation and exchange process, to be implemented at the instruction,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the consent, of the Company, in the event of the termination of the ADR program, (b) amend the Deposit Agreement, the ADRs currently outstanding, and the form of ADR annexed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in each case pursuant to Section 6.1 of the Deposit Agreement, to reflect such change, and (c) give notice thereof to all Holders (as defined in the Deposit Agreement) of ADSs.</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and the Depositary hereby agree to amend the Deposit Agreement, the ADRs currently outstanding, and the form of ADR annexed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as follows: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Unless otherwise specified in this Amendment No. 2, all capitalized terms used, but not defined, herein shall have the meanings ascribed to such terms in the Deposit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the date set forth above and as of which this Amendment No. 2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effective.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AMENDMENTS TO DEPOSIT AGREEMENT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All references in the Deposit Agreement to the term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shall, as of the Effective Date, refer to the Deposit Agreement, dated as of September 11, 2024, as amended by Amendment No. 1 to Deposit Agreement, dated as of April 24, 2026, as amended by this Amendment No. 2, and as further amended and supplemented after the Effective Date.</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Amendments Binding on all Holders and Beneficial Owners</w:t>
      </w:r>
      <w:r>
        <w:rPr>
          <w:rFonts w:ascii="Times New Roman" w:cs="Times New Roman" w:eastAsia="Times New Roman" w:hAnsi="Times New Roman"/>
          <w:sz w:val="18"/>
          <w:szCs w:val="18"/>
          <w:color w:val="auto"/>
        </w:rPr>
        <w:t xml:space="preserve">. From and after the Effective Date, the amendments to the Deposit Agreement, the ADRs currently outstanding, and the form of ADR annexed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effected hereby shall be binding on all Holders and Beneficial Owners of ADSs issued and outstanding as of the Effective Date and on all Holders and Beneficial Owners of ADSs issued after the Effective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Mandatory Exchange Termination Provision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82" w:lineRule="auto"/>
        <w:tabs>
          <w:tab w:leader="none" w:pos="15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6.2 of the Deposit Agreement is hereby amended by deleting the fourth paragraph in such section as of the Effective Date and replacing it with the following in its stead:</w:t>
      </w:r>
    </w:p>
    <w:p>
      <w:pPr>
        <w:spacing w:after="0" w:line="162" w:lineRule="exact"/>
        <w:rPr>
          <w:sz w:val="20"/>
          <w:szCs w:val="20"/>
          <w:color w:val="auto"/>
        </w:rPr>
      </w:pPr>
    </w:p>
    <w:p>
      <w:pPr>
        <w:jc w:val="both"/>
        <w:ind w:left="1300" w:right="640"/>
        <w:spacing w:after="0" w:line="252"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and shall, at the instruction of the Company, distribute to all Holders in a mandatory exchange for, and upon a mandatory cancellation of, their ADSs the corresponding Deposited Securities evidenced by the ADSs so cancelled, upon such terms and conditions as the Depositary may deem reasonably practicable and appropriate, subject however, in each case, to receipt by the Depositary of (i) confirmation of satisfaction by the Company of the applicable registration requirements under the Securities Act and the Exchange Act, and (ii) payment of the applicable taxes and the ADS fees and charges of, and reimbursement of the applicable expenses incurred by, the Depositary (including, without limitation, the fees and expenses of counsel to Depositary). The mandatory exchange of cancelled ADSs for Deposited Securities may involve the release by the Depositary and/or the Custodian of Deposited Securities to the Company to be held on deposit for Holders and Beneficial Owners of the ADSs cancelled. In the event of such mandatory exchange and cancellation of ADSs for Deposited Securities, the Depositary shall give notice thereof to the Holders of ADSs at least thirty (30) calendar days prior the Termination Date, shall require the Holders of ADSs to surrender their ADSs (and, if applicable, the ADRs representing such ADSs) in exchange for the corresponding Deposited Securities and shall cancel all ADSs (and, if applicable, the ADRs representing such ADSs) received in exchange for the corresponding Deposited Securities. Upon completion of such mandatory exchange of the ADSs for Deposited Securities, the ADSs so converted shall be cancelled, the Depositary shall be discharged from all obligations under the Deposit Agreement except (i) to account for such mandatory exchange (e.g., by providing applicable records to the Company), and (ii) as may be required at law in connection with the termination of the Deposit Agreement, and, if applicable, the Company shall be the holder of any Deposited Securities surrendered to it by the Depositary and/or the Custodian on behalf of the Holders and Beneficial Owners of the ADSs so cancelled. Notwithstanding the foregoing, the obligations of the Company to the Depositary under Sections 5.8, 5.9, 6.2 and 7.6 of the Deposit Agreement shall remain in full force and effect following any mandatory exchange and mandatory cancellation hereunder.”</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AMENDMENTS TO THE FORM OF ADR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ADR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sentence of Paragraph (1) of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and in each of the ADRs issued and outstanding under the terms of the Deposit Agreement is hereby amended as of the Effective Date by deleting such sentence in its entirety and inserting the following in its stead:</w:t>
      </w:r>
    </w:p>
    <w:p>
      <w:pPr>
        <w:spacing w:after="0" w:line="176" w:lineRule="exact"/>
        <w:rPr>
          <w:sz w:val="20"/>
          <w:szCs w:val="20"/>
          <w:color w:val="auto"/>
        </w:rPr>
      </w:pPr>
    </w:p>
    <w:p>
      <w:pPr>
        <w:jc w:val="both"/>
        <w:ind w:left="1300" w:right="640"/>
        <w:spacing w:after="0" w:line="258" w:lineRule="auto"/>
        <w:rPr>
          <w:sz w:val="20"/>
          <w:szCs w:val="20"/>
          <w:color w:val="auto"/>
        </w:rPr>
      </w:pPr>
      <w:r>
        <w:rPr>
          <w:rFonts w:ascii="Times New Roman" w:cs="Times New Roman" w:eastAsia="Times New Roman" w:hAnsi="Times New Roman"/>
          <w:sz w:val="18"/>
          <w:szCs w:val="18"/>
          <w:color w:val="auto"/>
        </w:rPr>
        <w:t>“This American Depositary Receipt is one of an issue of American Depositary Receipts (“ADRs”), all issued and to be issued upon the terms and conditions set forth in the Deposit Agreement, dated as of September 11, 2024, as amended by Amendment No. 1 to Deposit Agreement, dated as of April 24, 2026, and as amended by Amendment No. 2, dated as of July 16, 2026 (as so amended and as further amended and supplemented from time to time, the “Deposit Agreement”), by and among the Company, the Depositary and all Holders and Beneficial Owners from time to time of ADSs issued thereunder.”</w:t>
      </w:r>
    </w:p>
    <w:p>
      <w:pPr>
        <w:spacing w:after="0" w:line="183" w:lineRule="exact"/>
        <w:rPr>
          <w:sz w:val="20"/>
          <w:szCs w:val="20"/>
          <w:color w:val="auto"/>
        </w:rPr>
      </w:pPr>
    </w:p>
    <w:p>
      <w:pPr>
        <w:jc w:val="both"/>
        <w:ind w:firstLine="1304"/>
        <w:spacing w:after="0" w:line="266" w:lineRule="auto"/>
        <w:tabs>
          <w:tab w:leader="none" w:pos="15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second paragraph of Paragraph (24) of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and in each of the ADRs issued and outstanding under the terms of the Deposit Agreement is hereby amended as of the Effective Date by deleting such paragraph in its entirety and inserting the following in its stead:</w:t>
      </w:r>
    </w:p>
    <w:p>
      <w:pPr>
        <w:spacing w:after="0" w:line="176" w:lineRule="exact"/>
        <w:rPr>
          <w:sz w:val="20"/>
          <w:szCs w:val="20"/>
          <w:color w:val="auto"/>
        </w:rPr>
      </w:pPr>
    </w:p>
    <w:p>
      <w:pPr>
        <w:jc w:val="both"/>
        <w:ind w:left="1300" w:right="640"/>
        <w:spacing w:after="0" w:line="252"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and shall, at the instruction of the Company, distribute to all Holders in a mandatory exchange for, and upon a mandatory cancellation of, their ADSs the corresponding Deposited Securities evidenced by the ADSs so cancelled, upon such terms and conditions as the Depositary may deem reasonably practicable and appropriate, subject however, in each case, to receipt by the Depositary of (i) confirmation of satisfaction by the Company of the applicable registration requirements under the Securities Act and the Exchange Act, and (ii) payment of the applicable taxes and the ADS fees and charges of, and reimbursement of the applicable expenses incurred by, the Depositary (including, without limitation, the fees and expenses of counsel to Depositary). The mandatory exchange of cancelled ADSs for Deposited Securities may involve the release by the Depositary and/or the Custodian of Deposited Securities to the Company to be held on deposit for Holders and Beneficial Owners of the ADSs cancelled. In the event of such mandatory exchange and cancellation of ADSs for Deposited Securities, the Depositary shall give notice thereof to the Holders of ADSs at least thirty (30) calendar days prior the Termination Date, shall require the Holders of ADSs to surrender their ADSs (and, if applicable, the ADRs representing such ADSs) in exchange for the corresponding Deposited Securities and shall cancel all ADSs (and, if applicable, the ADRs representing such ADSs) received in exchange for the corresponding Deposited Securities. Upon completion of such mandatory exchange of the ADSs for Deposited Securities, the ADSs so converted shall be cancelled, the Depositary shall be discharged from all obligations under the Deposit Agreement except (i) to account for such mandatory exchange (e.g., by providing applicable records to the Company), and (ii) as may be required at law in connection with the termination of the Deposit Agreement, and, if applicable, the Company shall be the holder of any Deposited Securities surrendered to it by the Depositary and/or the Custodian on behalf of the Holders and Beneficial Owners of the ADSs so cancelled. Notwithstanding the foregoing, the obligations of the Company to the Depositary under Sections 5.8, 5.9, 6.2 and 7.6 of the Deposit Agreement shall remain in full force and effect following any mandatory exchange and mandatory cancellation hereunder.”</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Depositary and the Holders and Beneficial Owners, that:</w:t>
      </w:r>
    </w:p>
    <w:p>
      <w:pPr>
        <w:spacing w:after="0" w:line="162" w:lineRule="exact"/>
        <w:rPr>
          <w:sz w:val="20"/>
          <w:szCs w:val="20"/>
          <w:color w:val="auto"/>
        </w:rPr>
      </w:pPr>
    </w:p>
    <w:p>
      <w:pPr>
        <w:jc w:val="both"/>
        <w:ind w:firstLine="1304"/>
        <w:spacing w:after="0" w:line="258" w:lineRule="auto"/>
        <w:tabs>
          <w:tab w:leader="none" w:pos="15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2, when executed and delivered by the Company, and the Deposit Agreement and all other documentation executed and delivered by the Company in connection therewith, will be and have been, respectively, duly and validly authorized, executed, and delivered by the Company, and constitute the legal, valid, and binding obligations of the Company, enforceable against the Company in accordance with their respective terms, subject to bankruptcy, insolvency, fraudulent transfer, moratorium, and similar laws of general applicability relating to or affecting creditors’ rights and to general equity principles;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ensure the legality, validity, enforceability, or admissibility into evidence of this Amendment No. 2 or the Deposit Agreement as amended hereby, or any other document furnished hereunder or thereunder, none of such agreements need to be filed or recorded with any court or other authority in the Cayman Islands, nor does any stamp or similar tax need be paid in the Cayman Islands on or in respect of such agreements; and</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information provided to the Depositary by the Company in connection with this Amendment No. 2 is true, accurate,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New ADRs</w:t>
      </w:r>
      <w:r>
        <w:rPr>
          <w:rFonts w:ascii="Times New Roman" w:cs="Times New Roman" w:eastAsia="Times New Roman" w:hAnsi="Times New Roman"/>
          <w:sz w:val="18"/>
          <w:szCs w:val="18"/>
          <w:color w:val="auto"/>
        </w:rPr>
        <w:t xml:space="preserve">. From and after the Effective Date, the Depositary shall arrange to have new ADRs printed to reflect the changes to the form of ADR effected by this Amendment No. 2. All ADRs issued hereunder after the Effective Date, whether upon the deposit of Shares or other Deposited Securities or upon the transfer, combination, or split up of existing ADRs, shall be substantially in the form of the specimen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ADRs issued prior or subsequent to the date hereof, which do not reflect the changes to the form of ADR effected hereby, may, but are not required to, be returned to the Depositary for exchange. The Depositary is authorized and directed to take any and all actions deemed necessary to effect the foregoing.</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Notice of Amendment to Holders of ADSs</w:t>
      </w:r>
      <w:r>
        <w:rPr>
          <w:rFonts w:ascii="Times New Roman" w:cs="Times New Roman" w:eastAsia="Times New Roman" w:hAnsi="Times New Roman"/>
          <w:sz w:val="18"/>
          <w:szCs w:val="18"/>
          <w:color w:val="auto"/>
        </w:rPr>
        <w:t xml:space="preserve">. The Depositary is hereby directed to send a notice informing the Holders of ADSs,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(i) of the terms of this Amendment No. 2, (ii) of the Effective Date of this Amendment No. 2, and (iii) that copies of this Amendment No. 2 may be retrieved from the Commission’s website at https://www.sec.gov and may be obtained from the Depositary and the Company upon request. The notice to Holders of ADSs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agrees to indemnify and hold harmless the Depositary (and any and all of its directors, employees, officers, and agents) for any and all liability it or they may incur as a result of the terms of this Amendment No. 2 and the transactions contemplated herein. The indemnification provision in Section 5.8 of the Deposit Agreement shall apply equally to this Amendment No. 2.</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Except as expressly amended hereby, the terms, covenants, and conditions of the Deposit Agreement as originally executed shall remain in full force and effect.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No. 2 shall be governed by and construed in accordance with the laws of the State of New York without reference to its principles of choice of law.</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No. 2 may be executed in any number of counterparts, each of which shall be deemed an original, and all of such counterparts together shall be deemed an original, and all such counterparts together shall constitute one and the same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Reminder of page intentionally left blank. Signatures on following page.</w:t>
      </w:r>
      <w:r>
        <w:rPr>
          <w:rFonts w:ascii="Times New Roman" w:cs="Times New Roman" w:eastAsia="Times New Roman" w:hAnsi="Times New Roman"/>
          <w:sz w:val="18"/>
          <w:szCs w:val="18"/>
          <w:color w:val="auto"/>
        </w:rPr>
        <w:t>]</w:t>
      </w:r>
    </w:p>
    <w:p>
      <w:pPr>
        <w:spacing w:after="0" w:line="3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and the Depositary have caused this Amendment No. 2 to be executed by representatives thereunto duly authorized as of the date set forth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17145</wp:posOffset>
            </wp:positionV>
            <wp:extent cx="24942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CITIBANK, N.A., as Depositary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17145</wp:posOffset>
            </wp:positionV>
            <wp:extent cx="24942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3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RECEIPT]</w:t>
      </w:r>
    </w:p>
    <w:p>
      <w:pPr>
        <w:sectPr>
          <w:pgSz w:w="11900" w:h="16838" w:orient="portrait"/>
          <w:cols w:equalWidth="0" w:num="1">
            <w:col w:w="11240"/>
          </w:cols>
          <w:pgMar w:left="320" w:top="792"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NUMBER: _______________</w:t>
      </w:r>
    </w:p>
    <w:p>
      <w:pPr>
        <w:spacing w:after="0" w:line="254" w:lineRule="exact"/>
        <w:rPr>
          <w:sz w:val="20"/>
          <w:szCs w:val="20"/>
          <w:color w:val="auto"/>
        </w:rPr>
      </w:pPr>
    </w:p>
    <w:p>
      <w:pPr>
        <w:sectPr>
          <w:pgSz w:w="11900" w:h="16838" w:orient="portrait"/>
          <w:cols w:equalWidth="0" w:num="2">
            <w:col w:w="7760" w:space="720"/>
            <w:col w:w="2760"/>
          </w:cols>
          <w:pgMar w:left="320" w:top="792" w:right="339" w:bottom="1440" w:gutter="0" w:footer="0" w:header="0"/>
          <w:type w:val="continuous"/>
        </w:sectPr>
      </w:pPr>
    </w:p>
    <w:p>
      <w:pPr>
        <w:ind w:left="7320"/>
        <w:spacing w:after="0"/>
        <w:tabs>
          <w:tab w:leader="none" w:pos="8220" w:val="left"/>
          <w:tab w:leader="none" w:pos="9220" w:val="left"/>
          <w:tab w:leader="none" w:pos="9900" w:val="left"/>
          <w:tab w:leader="none" w:pos="10500" w:val="left"/>
        </w:tabs>
        <w:rPr>
          <w:sz w:val="20"/>
          <w:szCs w:val="20"/>
          <w:color w:val="auto"/>
        </w:rPr>
      </w:pPr>
      <w:r>
        <w:rPr>
          <w:rFonts w:ascii="Times New Roman" w:cs="Times New Roman" w:eastAsia="Times New Roman" w:hAnsi="Times New Roman"/>
          <w:sz w:val="18"/>
          <w:szCs w:val="18"/>
          <w:color w:val="auto"/>
        </w:rPr>
        <w:t>American</w:t>
        <w:tab/>
        <w:t>Depositary</w:t>
        <w:tab/>
        <w:t>Shares</w:t>
        <w:tab/>
        <w:t>(each</w:t>
        <w:tab/>
        <w:t>American</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Depositary Share representing the right to receive two</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hundred  forty  (240)  fully  paid  Class  B  ordinary</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AMERICAN DEPOSITARY RECEIPT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DEPOSITED ORDINARY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CITIBANK, N.A., a national banking association organized and existing under the laws of the United States of America, as depositary (the</w:t>
      </w:r>
    </w:p>
    <w:p>
      <w:pPr>
        <w:sectPr>
          <w:pgSz w:w="11900" w:h="16838" w:orient="portrait"/>
          <w:cols w:equalWidth="0" w:num="1">
            <w:col w:w="11240"/>
          </w:cols>
          <w:pgMar w:left="320" w:top="792"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hereby certifies that _____________ is the owner of ______________ American Depositary Shares (hereinafter “ADS”) representing</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deposited Class B ordinary shares, including evidence of rights to receive such Class B ordinary shares (the “Shares”), of TRIDENT DIGITAL TECH HOLDINGS LTD, an exempted company incorporated with limited liability under the laws of the Cayman Islands, and its successors (the “Company”). As of the date of issuance of this ADR, each one (1) ADS represents the right to receive two hundred forty (240) Shares deposited under the Deposit Agreement (as hereinafter defined) with the Custodian, which at the date of issuance of this ADR is Citibank, N.A. - Hong Kong (the “Custodian”). The ADS(s)-to-Share(s) ratio is subject to amendment as provided in Articles IV and VI of the Deposit Agreement. The Depositary’s Principal Office is located at 388 Greenwich Street, New York, New York 10013, U.S.A.</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9" w:name="page20"/>
    <w:bookmarkEnd w:id="19"/>
    <w:p>
      <w:pPr>
        <w:jc w:val="both"/>
        <w:ind w:firstLine="656"/>
        <w:spacing w:after="0" w:line="253" w:lineRule="auto"/>
        <w:tabs>
          <w:tab w:leader="none" w:pos="903"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American Depositary Receipt is one of an issue of American Depositary Receipts (“ADRs”), all issued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issued upon the terms and conditions set forth in the Deposit Agreement, dated as of September 11, 2024, as amended by Amendment No. 1 to Deposit Agreement, dated as of April 24, 2026, and as amended by Amendment No. 2, dated as of July 16, 2026 (as so amended and as further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All capitalized terms not defined herein shall have the meanings ascribed thereto in the Deposit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76" w:lineRule="exact"/>
        <w:rPr>
          <w:sz w:val="20"/>
          <w:szCs w:val="20"/>
          <w:color w:val="auto"/>
        </w:rPr>
      </w:pPr>
    </w:p>
    <w:p>
      <w:pPr>
        <w:jc w:val="both"/>
        <w:ind w:firstLine="656"/>
        <w:spacing w:after="0" w:line="253" w:lineRule="auto"/>
        <w:tabs>
          <w:tab w:leader="none" w:pos="903"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this ADR (and of the ADSs evidenced hereby) shall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3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ADS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evidencing the surrendered ADSs, of the Deposit Agreement, of the Articles of Association, and of any applicable laws and the rules of the applicable book entry settlement entity, and to any provisions of or governing the Deposited Securities, in each case as in effect at the time thereof.</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Deposit Agreement, of this ADR evidencing the ADS so canceled, of the Articles of Association, of any applicable laws and of the rules of the applicable book entry settlement entity, and to the terms and conditions of or governing the Deposited Securities, in each case as in effect at the time thereof.</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jc w:val="both"/>
        <w:ind w:firstLine="656"/>
        <w:spacing w:after="0" w:line="254" w:lineRule="auto"/>
        <w:tabs>
          <w:tab w:leader="none" w:pos="903"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this ADR (and of the ADSs represented hereby)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this ADR, of the Deposit Agreement and of applicable law, in each case as in effect at the time thereof.</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w:t>
      </w:r>
    </w:p>
    <w:p>
      <w:pPr>
        <w:spacing w:after="0" w:line="3" w:lineRule="exact"/>
        <w:rPr>
          <w:sz w:val="20"/>
          <w:szCs w:val="20"/>
          <w:color w:val="auto"/>
        </w:rPr>
      </w:pPr>
    </w:p>
    <w:p>
      <w:pPr>
        <w:jc w:val="both"/>
        <w:ind w:firstLine="8"/>
        <w:spacing w:after="0" w:line="255" w:lineRule="auto"/>
        <w:tabs>
          <w:tab w:leader="none" w:pos="2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of the Deposit Agreement and of applicable law, in each case as in effect at the time thereof.</w:t>
      </w:r>
    </w:p>
    <w:p>
      <w:pPr>
        <w:spacing w:after="0" w:line="181"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Pre-Conditions to Registration, Transfer,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both"/>
        <w:ind w:firstLine="656"/>
        <w:spacing w:after="0" w:line="257" w:lineRule="auto"/>
        <w:tabs>
          <w:tab w:leader="none" w:pos="916"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this ADR, each Holder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Beneficial Owner of the ADSs represented hereby agrees to comply with requests from the Company pursuant to applicable law, the rules and requirements of any stock exchange on which the Shares or ADSs are, or will be, registered, traded or listed or the Articles of Association,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3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this ADR or of the Deposit Agreement to the contrary,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the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916"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 owners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both"/>
        <w:ind w:firstLine="656"/>
        <w:spacing w:after="0" w:line="253" w:lineRule="auto"/>
        <w:tabs>
          <w:tab w:leader="none" w:pos="903"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3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both"/>
        <w:ind w:firstLine="656"/>
        <w:spacing w:after="0" w:line="253" w:lineRule="auto"/>
        <w:tabs>
          <w:tab w:leader="none" w:pos="1006"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withhold the execution or delivery or registration of transfer of any ADR or ADS or the distribution or sale of any dividend or distribution of rights or of the proceeds thereof or, to the extent not limited by paragraph (25) and Section 7.8(a) of the Deposit Agreement, the delivery of any Deposited Property until such proof or other information is filed or such certifications are executed, or such representations and warranties are made or such other documentation or information are provided, in each case to the Depositary’s, the Registrar’s and the Company’s satisfaction.</w:t>
      </w:r>
    </w:p>
    <w:p>
      <w:pPr>
        <w:spacing w:after="0" w:line="189" w:lineRule="exact"/>
        <w:rPr>
          <w:rFonts w:ascii="Times New Roman" w:cs="Times New Roman" w:eastAsia="Times New Roman" w:hAnsi="Times New Roman"/>
          <w:sz w:val="18"/>
          <w:szCs w:val="18"/>
          <w:b w:val="1"/>
          <w:bCs w:val="1"/>
          <w:color w:val="auto"/>
        </w:rPr>
      </w:pPr>
    </w:p>
    <w:p>
      <w:pPr>
        <w:ind w:left="1000" w:hanging="344"/>
        <w:spacing w:after="0"/>
        <w:tabs>
          <w:tab w:leader="none" w:pos="1000" w:val="left"/>
        </w:tabs>
        <w:numPr>
          <w:ilvl w:val="1"/>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ADS Fees and Charges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following ADS fees (some of which may be cumulative) are payable under the terms of the Deposit Agreement:</w:t>
      </w:r>
    </w:p>
    <w:p>
      <w:pPr>
        <w:spacing w:after="0" w:line="238" w:lineRule="exact"/>
        <w:rPr>
          <w:rFonts w:ascii="Times New Roman" w:cs="Times New Roman" w:eastAsia="Times New Roman" w:hAnsi="Times New Roman"/>
          <w:sz w:val="17"/>
          <w:szCs w:val="17"/>
          <w:b w:val="1"/>
          <w:bCs w:val="1"/>
          <w:color w:val="auto"/>
        </w:rPr>
      </w:pPr>
    </w:p>
    <w:p>
      <w:pPr>
        <w:jc w:val="both"/>
        <w:ind w:left="660" w:hanging="652"/>
        <w:spacing w:after="0" w:line="26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Issuance Fee</w:t>
      </w:r>
      <w:r>
        <w:rPr>
          <w:rFonts w:ascii="Times New Roman" w:cs="Times New Roman" w:eastAsia="Times New Roman" w:hAnsi="Times New Roman"/>
          <w:sz w:val="18"/>
          <w:szCs w:val="18"/>
          <w:color w:val="auto"/>
        </w:rPr>
        <w:t>: by any person for whom ADSs are issued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173" w:lineRule="exact"/>
        <w:rPr>
          <w:rFonts w:ascii="Times New Roman" w:cs="Times New Roman" w:eastAsia="Times New Roman" w:hAnsi="Times New Roman"/>
          <w:sz w:val="18"/>
          <w:szCs w:val="18"/>
          <w:color w:val="auto"/>
        </w:rPr>
      </w:pPr>
    </w:p>
    <w:p>
      <w:pPr>
        <w:ind w:left="660" w:hanging="652"/>
        <w:spacing w:after="0" w:line="28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Cancellation Fee</w:t>
      </w:r>
      <w:r>
        <w:rPr>
          <w:rFonts w:ascii="Times New Roman" w:cs="Times New Roman" w:eastAsia="Times New Roman" w:hAnsi="Times New Roman"/>
          <w:sz w:val="18"/>
          <w:szCs w:val="18"/>
          <w:color w:val="auto"/>
        </w:rPr>
        <w:t>: by any person for whom ADSs are being cancelled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16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cash dividends or other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 entitlements);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Distribution /Rights Exercise Fee</w:t>
      </w:r>
      <w:r>
        <w:rPr>
          <w:rFonts w:ascii="Times New Roman" w:cs="Times New Roman" w:eastAsia="Times New Roman" w:hAnsi="Times New Roman"/>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financial instruments, including, without limitation, securities, other than ADSs or 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 shares and contingent value rights);</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ADS Transfer Fee</w:t>
      </w:r>
      <w:r>
        <w:rPr>
          <w:rFonts w:ascii="Times New Roman" w:cs="Times New Roman" w:eastAsia="Times New Roman" w:hAnsi="Times New Roman"/>
          <w:sz w:val="18"/>
          <w:szCs w:val="18"/>
          <w:color w:val="auto"/>
        </w:rPr>
        <w:t>: by any Holder of ADS(s) being transferred or by any person to whom ADSs are transferred, a fee not in excess of U.S. $5.00 per 100 ADSs (or fraction thereof) transferred; and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Conversion Fee</w:t>
      </w:r>
      <w:r>
        <w:rPr>
          <w:rFonts w:ascii="Times New Roman" w:cs="Times New Roman" w:eastAsia="Times New Roman" w:hAnsi="Times New Roman"/>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conversion of Partial Entitlement ADSs for Full Entitlement ADSs, or upon conversion of Restricted ADSs into freely transferrable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spacing w:after="0" w:line="176"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Securities or of the Holders and Beneficial Owners of ADSs;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All ADS fees and charges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72" w:lineRule="exact"/>
        <w:rPr>
          <w:sz w:val="20"/>
          <w:szCs w:val="20"/>
          <w:color w:val="auto"/>
        </w:rPr>
      </w:pPr>
    </w:p>
    <w:p>
      <w:pPr>
        <w:jc w:val="both"/>
        <w:ind w:firstLine="656"/>
        <w:spacing w:after="0" w:line="254" w:lineRule="auto"/>
        <w:tabs>
          <w:tab w:leader="none" w:pos="100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to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in the Deposit Agreement and in this ADR, it is a condition of this ADR, and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ind w:firstLine="656"/>
        <w:spacing w:after="0" w:line="256" w:lineRule="auto"/>
        <w:tabs>
          <w:tab w:leader="none" w:pos="100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Validity of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this ADR (and the ADSs represented hereby) shall not be entitled to any benefits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0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Available Information; Reports; Inspection of Transfer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 of the Deposit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29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CITIBANK, N.A.</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CITIBANK, N.A.</w:t>
            </w: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Agent and Registrar</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as Depositary</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4"/>
                <w:szCs w:val="24"/>
                <w:color w:val="auto"/>
              </w:rPr>
            </w:pPr>
          </w:p>
        </w:tc>
        <w:tc>
          <w:tcPr>
            <w:tcW w:w="29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4"/>
                <w:szCs w:val="24"/>
                <w:color w:val="auto"/>
              </w:rPr>
            </w:pPr>
          </w:p>
        </w:tc>
      </w:tr>
      <w:tr>
        <w:trPr>
          <w:trHeight w:val="228"/>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address of the Principal Office of the Depositary is 388 Greenwich Street, New York, New York 10013, U.S.A.</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203" w:lineRule="exact"/>
        <w:rPr>
          <w:sz w:val="20"/>
          <w:szCs w:val="20"/>
          <w:color w:val="auto"/>
        </w:rPr>
      </w:pPr>
    </w:p>
    <w:p>
      <w:pPr>
        <w:jc w:val="both"/>
        <w:ind w:firstLine="656"/>
        <w:spacing w:after="0" w:line="252" w:lineRule="auto"/>
        <w:tabs>
          <w:tab w:leader="none" w:pos="993"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 and Distributions in Cash, Shares,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Cash Distributions</w:t>
      </w:r>
      <w:r>
        <w:rPr>
          <w:rFonts w:ascii="Times New Roman" w:cs="Times New Roman" w:eastAsia="Times New Roman" w:hAnsi="Times New Roman"/>
          <w:sz w:val="18"/>
          <w:szCs w:val="18"/>
          <w:color w:val="auto"/>
        </w:rPr>
        <w:t>: Upon the timely receipt by the Depositary of a notice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that it intends to make a distribution of a cash dividend or other cash distribution, the Depositary shall establish the ADS Record Date upon the terms described in Section 4.9 of the Deposit Agreement. Upon confirmation of receipt of (x) any cash dividend or other cash distribution on any Deposited Securities,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described in the Fee Schedule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185"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55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 Distributions</w:t>
      </w:r>
      <w:r>
        <w:rPr>
          <w:rFonts w:ascii="Times New Roman" w:cs="Times New Roman" w:eastAsia="Times New Roman" w:hAnsi="Times New Roman"/>
          <w:sz w:val="18"/>
          <w:szCs w:val="18"/>
          <w:color w:val="auto"/>
        </w:rPr>
        <w:t>: Upon the timely receipt by the Depositary of a notice from the Company that it intends to make a distribution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183" w:lineRule="exact"/>
        <w:rPr>
          <w:sz w:val="20"/>
          <w:szCs w:val="20"/>
          <w:color w:val="auto"/>
        </w:rPr>
      </w:pPr>
    </w:p>
    <w:p>
      <w:pPr>
        <w:jc w:val="both"/>
        <w:ind w:firstLine="1304"/>
        <w:spacing w:after="0" w:line="252" w:lineRule="auto"/>
        <w:tabs>
          <w:tab w:leader="none" w:pos="156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Elective Distributions in Cash or Shares</w:t>
      </w:r>
      <w:r>
        <w:rPr>
          <w:rFonts w:ascii="Times New Roman" w:cs="Times New Roman" w:eastAsia="Times New Roman" w:hAnsi="Times New Roman"/>
          <w:sz w:val="18"/>
          <w:szCs w:val="18"/>
          <w:color w:val="auto"/>
        </w:rPr>
        <w:t>: Upon the timely receipt of a notice indicating that the Company wishes an elective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in cash or Shares to be made available to Holders of ADSs upon the terms described in the Deposit Agreement, the Company and the Depositary shall determine in accordance with the Deposit Agreement whether such distribution is lawful and reasonably practicable.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reasonably satisfactory documentation within the terms of Section 5.7 of the Deposit Agreement. If the above conditions are satisfied, the Depositary shall, subject to the terms and conditions of the Deposit Agreement, establish the ADS Record Date upon the terms of Section 4.9 of the Deposit Agreement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the Cayman Islands in respect of the Shares for which no election is made, either (x) cash or (y) additional ADSs representing such additional Shares, in each case, upon the terms described in the Deposit Agreement. Nothing herein or in the Deposit Agreement shall obligate the Depositary to make available to the Holder hereof a method to receive the elective distribution in Shares (rather than ADSs). There can be no assurance that the Holder hereof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jc w:val="both"/>
        <w:ind w:firstLine="1304"/>
        <w:spacing w:after="0" w:line="252" w:lineRule="auto"/>
        <w:tabs>
          <w:tab w:leader="none" w:pos="157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 of Rights to Purchase Additional ADSs</w:t>
      </w:r>
      <w:r>
        <w:rPr>
          <w:rFonts w:ascii="Times New Roman" w:cs="Times New Roman" w:eastAsia="Times New Roman" w:hAnsi="Times New Roman"/>
          <w:sz w:val="18"/>
          <w:szCs w:val="18"/>
          <w:color w:val="auto"/>
        </w:rPr>
        <w:t>: Upon the timely receipt by the Depositary of a notice indicating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reasonably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sell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172" w:lineRule="exact"/>
        <w:rPr>
          <w:sz w:val="20"/>
          <w:szCs w:val="20"/>
          <w:color w:val="auto"/>
        </w:rPr>
      </w:pPr>
    </w:p>
    <w:p>
      <w:pPr>
        <w:jc w:val="both"/>
        <w:ind w:firstLine="1304"/>
        <w:spacing w:after="0" w:line="256"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Distributions other than Cash, Shares or Rights to Purchase Shares</w:t>
      </w:r>
      <w:r>
        <w:rPr>
          <w:rFonts w:ascii="Times New Roman" w:cs="Times New Roman" w:eastAsia="Times New Roman" w:hAnsi="Times New Roman"/>
          <w:sz w:val="18"/>
          <w:szCs w:val="18"/>
          <w:color w:val="auto"/>
        </w:rPr>
        <w:t>: Upon receipt of a notice indicating that the Company wishes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the documentation contemplated in the Deposit Agreement, and</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3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in the Deposit Agreement. If the Depositary is unable to sell such property, the Depositary may dispose of such property for the account of the Holders in any way it deems reasonably practicable under the circumstances.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jc w:val="both"/>
        <w:ind w:firstLine="656"/>
        <w:spacing w:after="0" w:line="252" w:lineRule="auto"/>
        <w:tabs>
          <w:tab w:leader="none" w:pos="1006"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timely receipt of notice from the Company that it intends to exercise its right of redemption in respect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Deposited Securities, and satisfactory documentation, and upon determining that such proposed redemption is practicable, the Depositary shall (to the extent practicable) provide to each Holder a notice setting forth the Company’s intention to exercise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above, the Depositary shall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both"/>
        <w:ind w:firstLine="656"/>
        <w:spacing w:after="0" w:line="254" w:lineRule="auto"/>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Subject to applicable law, the terms and conditions of this ADR and Sections 4.1 through 4.8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93"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 Securities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Deposit Agreement, voting at any meeting of shareholders of the Company is by show of hands unless (before or on the declaration of the result of the show of hands) a poll is demanded. The Depositary will not join in demanding a poll, whether or not requested to do so by Holders of ADSs. Under the Articles of Association of the Company as in effect on the date of the Deposit Agreement, a poll may be demanded by (a) the chairman of the meeting, or (b) any shareholder(s) present in person or by proxy and representing not less than 10% of the total voting rights of the shareholders present in person or by proxy on the resolution (excluding any shares held in treasury).</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Articles of Association and the provisions of the Deposited Securities, to vote, or cause the Custodian to vote, the Deposited Securities (in person or by proxy) represented by such Holder’s ADSs as follows: (a) </w:t>
      </w:r>
      <w:r>
        <w:rPr>
          <w:rFonts w:ascii="Times New Roman" w:cs="Times New Roman" w:eastAsia="Times New Roman" w:hAnsi="Times New Roman"/>
          <w:sz w:val="18"/>
          <w:szCs w:val="18"/>
          <w:i w:val="1"/>
          <w:iCs w:val="1"/>
          <w:color w:val="auto"/>
        </w:rPr>
        <w:t>in the event voting takes place at a shareholders’ meeting by a show of hands,</w:t>
      </w:r>
      <w:r>
        <w:rPr>
          <w:rFonts w:ascii="Times New Roman" w:cs="Times New Roman" w:eastAsia="Times New Roman" w:hAnsi="Times New Roman"/>
          <w:sz w:val="18"/>
          <w:szCs w:val="18"/>
          <w:color w:val="auto"/>
        </w:rPr>
        <w:t xml:space="preserve"> the Depositary will instruct the Custodian to vote all Deposited Securities in accordance with such voting instructions received timely from a majority of the Holders of ADSs who provided voting instructions, and (b)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event voting takes place at a shareholders’ meeting by poll</w:t>
      </w:r>
      <w:r>
        <w:rPr>
          <w:rFonts w:ascii="Times New Roman" w:cs="Times New Roman" w:eastAsia="Times New Roman" w:hAnsi="Times New Roman"/>
          <w:sz w:val="18"/>
          <w:szCs w:val="18"/>
          <w:color w:val="auto"/>
        </w:rPr>
        <w:t>, the Depositary will instruct the Custodian to vote the Deposited Securities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or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this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to enable Holders and Beneficial Owners to exercise the voting rights accruing to the Deposited Securities and to deliver to the Depositary an opinion of U.S. counsel in a form reasonably satisfactory to the Depositary addressing any actions requested to be taken if so requested by the Depositary.</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jc w:val="both"/>
        <w:ind w:firstLine="656"/>
        <w:spacing w:after="0" w:line="251" w:lineRule="auto"/>
        <w:tabs>
          <w:tab w:leader="none" w:pos="102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Affecting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change in nominal or par value, split-up, cancellation, consolidation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w:t>
      </w:r>
    </w:p>
    <w:p>
      <w:pPr>
        <w:spacing w:after="0" w:line="12"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exchange exposure or loss incurred in connection with such sale, or (iii) any liability to the purchaser of such Deposited Property.</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jc w:val="both"/>
        <w:ind w:firstLine="656"/>
        <w:spacing w:after="0" w:line="252" w:lineRule="auto"/>
        <w:tabs>
          <w:tab w:leader="none" w:pos="993"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 Company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to do or perform any act or thing which is inconsistent with the provisions of the Deposit Agreement or incur any liability (to the extent not limited by paragraph (25) hereof)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86"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any financial transaction entered into by any person in respect of the ADSs or any Deposited Property, for any tax consequences that may result from the ownership of, or any transaction involving, ADSs or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firstLine="656"/>
        <w:spacing w:after="0" w:line="252" w:lineRule="auto"/>
        <w:tabs>
          <w:tab w:leader="none" w:pos="1033"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jc w:val="both"/>
        <w:ind w:firstLine="656"/>
        <w:spacing w:after="0" w:line="254" w:lineRule="auto"/>
        <w:tabs>
          <w:tab w:leader="none" w:pos="993"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paragraph 23, and Section 6.1 of the Deposit Agreement and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w:t>
      </w:r>
    </w:p>
    <w:p>
      <w:pPr>
        <w:spacing w:after="0" w:line="3" w:lineRule="exact"/>
        <w:rPr>
          <w:rFonts w:ascii="Times New Roman" w:cs="Times New Roman" w:eastAsia="Times New Roman" w:hAnsi="Times New Roman"/>
          <w:sz w:val="18"/>
          <w:szCs w:val="18"/>
          <w:b w:val="1"/>
          <w:bCs w:val="1"/>
          <w:color w:val="auto"/>
        </w:rPr>
      </w:pPr>
    </w:p>
    <w:p>
      <w:pPr>
        <w:jc w:val="both"/>
        <w:ind w:firstLine="8"/>
        <w:spacing w:after="0" w:line="251" w:lineRule="auto"/>
        <w:tabs>
          <w:tab w:leader="none" w:pos="3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jc w:val="both"/>
        <w:ind w:firstLine="656"/>
        <w:spacing w:after="0" w:line="263" w:lineRule="auto"/>
        <w:tabs>
          <w:tab w:leader="none" w:pos="1006"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 distributing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such termination to the Holders of all ADSs then outstanding at least thirty (30) days prior to the date fixed in such notice for such termination. If</w:t>
      </w:r>
    </w:p>
    <w:p>
      <w:pPr>
        <w:jc w:val="both"/>
        <w:ind w:firstLine="8"/>
        <w:spacing w:after="0" w:line="250" w:lineRule="auto"/>
        <w:tabs>
          <w:tab w:leader="none" w:pos="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 (90) days shall have expired after the Depositary shall have delivered to the Company a written notice of its election to resign, or (ii) 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3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and shall, at the instruction of the Company, distribute to all Holders in a mandatory exchange for, and upon a mandatory cancellation of, their ADSs the corresponding Deposited Securities evidenced by the ADSs so cancelled, upon such terms and conditions as the Depositary may deem reasonably practicable and appropriate, subject however, in each case, to receipt by the Depositary of (i) confirmation of satisfaction by the Company of the applicable registration requirements under the Securities Act and the Exchange Act, and (ii) payment of the applicable taxes and the ADS fees and charges of, and reimbursement of the applicable expenses incurred by, the Depositary (including, without limitation, the fees and expenses of counsel to Depositary). The mandatory exchange of cancelled ADSs for Deposited Securities may involve the release by the Depositary and/or the Custodian of Deposited Securities to the Company to be held on deposit for Holders and Beneficial Owners of the ADSs cancelled. In the event of such mandatory exchange and cancellation of ADSs for Deposited Securities, the Depositary shall give notice thereof to the Holders of ADSs at least thirty (30) calendar days prior the Termination Date, shall require the Holders of ADSs to surrender their ADSs (and, if applicable, the ADRs representing such ADSs) in exchange for the corresponding Deposited Securities and shall cancel all ADSs (and, if applicable, the ADRs representing such ADSs) received in exchange for the corresponding Deposited Securities. Upon completion of such mandatory exchange of the ADSs for Deposited Securities, the ADSs so converted shall be cancelled, the Depositary shall be discharged from all obligations under the Deposit Agreement except (i) to account for such mandatory exchange (e.g., by providing applicable records to the Company), and (ii) as may be required at law in connection with the termination of the Deposit Agreement, and, if applicable, the Company shall be the holder of any Deposited Securities surrendered to it by the Depositary and/or the Custodian on behalf of the Holders and Beneficial Owners of the ADSs so cancelled. Notwithstanding the foregoing, the obligations of the Company to the Depositary under Sections 5.8, 5.9, 6.2 and 7.6 of the Deposit Agreement shall remain in full force and effect following any mandatory exchange and mandatory cancellation hereunder.</w:t>
      </w:r>
    </w:p>
    <w:p>
      <w:pPr>
        <w:spacing w:after="0" w:line="188" w:lineRule="exact"/>
        <w:rPr>
          <w:sz w:val="20"/>
          <w:szCs w:val="20"/>
          <w:color w:val="auto"/>
        </w:rPr>
      </w:pPr>
    </w:p>
    <w:p>
      <w:pPr>
        <w:jc w:val="both"/>
        <w:ind w:firstLine="656"/>
        <w:spacing w:after="0" w:line="268" w:lineRule="auto"/>
        <w:tabs>
          <w:tab w:leader="none" w:pos="10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and No Disclaimer under, U.S.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Notwithstanding any provisions in this ADR or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74"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both"/>
        <w:ind w:firstLine="656"/>
        <w:spacing w:after="0" w:line="253" w:lineRule="auto"/>
        <w:tabs>
          <w:tab w:leader="none" w:pos="1020"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Third Party Beneficiaries/Acknowledgements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is for the exclusive benefit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1" w:lineRule="auto"/>
        <w:tabs>
          <w:tab w:leader="none" w:pos="31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89" w:lineRule="exact"/>
        <w:rPr>
          <w:rFonts w:ascii="Times New Roman" w:cs="Times New Roman" w:eastAsia="Times New Roman" w:hAnsi="Times New Roman"/>
          <w:sz w:val="18"/>
          <w:szCs w:val="18"/>
          <w:color w:val="auto"/>
        </w:rPr>
      </w:pPr>
    </w:p>
    <w:p>
      <w:pPr>
        <w:jc w:val="both"/>
        <w:ind w:firstLine="656"/>
        <w:spacing w:after="0" w:line="257" w:lineRule="auto"/>
        <w:tabs>
          <w:tab w:leader="none" w:pos="993"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 Waiver of Jury Trial</w:t>
      </w:r>
      <w:r>
        <w:rPr>
          <w:rFonts w:ascii="Times New Roman" w:cs="Times New Roman" w:eastAsia="Times New Roman" w:hAnsi="Times New Roman"/>
          <w:sz w:val="18"/>
          <w:szCs w:val="18"/>
          <w:color w:val="auto"/>
        </w:rPr>
        <w:t>. The Deposit Agreement, the ADRs and the ADSs shall be interpreted in accordance with,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18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Holders and Beneficial Owners understand and each irrevocably agrees that, by holding an ADS or an interest therein, any suit, action or proceeding against or involving the Company or the Depositary, arising out of or based upon the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 whose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is _____________________ and whose address including postal zip code is ________________, the within ADR and all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hereby irrevocably constituting and appointing ________________________ attorney-in-fact to transfer said ADR on the books of the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tc>
        <w:tc>
          <w:tcPr>
            <w:tcW w:w="18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58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178"/>
        </w:trPr>
        <w:tc>
          <w:tcPr>
            <w:tcW w:w="5440" w:type="dxa"/>
            <w:vAlign w:val="bottom"/>
          </w:tcPr>
          <w:p>
            <w:pPr>
              <w:spacing w:after="0"/>
              <w:rPr>
                <w:sz w:val="15"/>
                <w:szCs w:val="15"/>
                <w:color w:val="auto"/>
              </w:rPr>
            </w:pPr>
          </w:p>
        </w:tc>
        <w:tc>
          <w:tcPr>
            <w:tcW w:w="1880" w:type="dxa"/>
            <w:vAlign w:val="bottom"/>
          </w:tcPr>
          <w:p>
            <w:pPr>
              <w:ind w:left="1220"/>
              <w:spacing w:after="0" w:line="177" w:lineRule="exact"/>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58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5440" w:type="dxa"/>
            <w:vAlign w:val="bottom"/>
          </w:tcPr>
          <w:p>
            <w:pPr>
              <w:spacing w:after="0"/>
              <w:rPr>
                <w:sz w:val="24"/>
                <w:szCs w:val="24"/>
                <w:color w:val="auto"/>
              </w:rPr>
            </w:pPr>
          </w:p>
        </w:tc>
        <w:tc>
          <w:tcPr>
            <w:tcW w:w="58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NOTICE: The signature of the Holder to this assignment must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58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correspond with the name as written upon the face of the</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58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within instrument in every particular, without alteration or</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58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enlargement or any change whatsoever.</w:t>
            </w:r>
          </w:p>
        </w:tc>
        <w:tc>
          <w:tcPr>
            <w:tcW w:w="0" w:type="dxa"/>
            <w:vAlign w:val="bottom"/>
          </w:tcPr>
          <w:p>
            <w:pPr>
              <w:spacing w:after="0"/>
              <w:rPr>
                <w:sz w:val="1"/>
                <w:szCs w:val="1"/>
                <w:color w:val="auto"/>
              </w:rPr>
            </w:pPr>
          </w:p>
        </w:tc>
      </w:tr>
      <w:tr>
        <w:trPr>
          <w:trHeight w:val="414"/>
        </w:trPr>
        <w:tc>
          <w:tcPr>
            <w:tcW w:w="5440" w:type="dxa"/>
            <w:vAlign w:val="bottom"/>
          </w:tcPr>
          <w:p>
            <w:pPr>
              <w:spacing w:after="0"/>
              <w:rPr>
                <w:sz w:val="24"/>
                <w:szCs w:val="24"/>
                <w:color w:val="auto"/>
              </w:rPr>
            </w:pPr>
          </w:p>
        </w:tc>
        <w:tc>
          <w:tcPr>
            <w:tcW w:w="58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If the endorsement be executed by an attorney, executor,</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58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administrator, trustee or guardian, the person executing the</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58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endorsement must give his/her full title in such capacity and</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58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proper evidence of authority to act in such capacity, if not on</w:t>
            </w:r>
          </w:p>
        </w:tc>
        <w:tc>
          <w:tcPr>
            <w:tcW w:w="0" w:type="dxa"/>
            <w:vAlign w:val="bottom"/>
          </w:tcPr>
          <w:p>
            <w:pPr>
              <w:spacing w:after="0"/>
              <w:rPr>
                <w:sz w:val="1"/>
                <w:szCs w:val="1"/>
                <w:color w:val="auto"/>
              </w:rPr>
            </w:pPr>
          </w:p>
        </w:tc>
      </w:tr>
      <w:tr>
        <w:trPr>
          <w:trHeight w:val="234"/>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58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file with the Depositary, must be forwarded with this ADR.</w:t>
            </w:r>
          </w:p>
        </w:tc>
        <w:tc>
          <w:tcPr>
            <w:tcW w:w="0" w:type="dxa"/>
            <w:vAlign w:val="bottom"/>
          </w:tcPr>
          <w:p>
            <w:pPr>
              <w:spacing w:after="0"/>
              <w:rPr>
                <w:sz w:val="1"/>
                <w:szCs w:val="1"/>
                <w:color w:val="auto"/>
              </w:rPr>
            </w:pPr>
          </w:p>
        </w:tc>
      </w:tr>
      <w:tr>
        <w:trPr>
          <w:trHeight w:val="216"/>
        </w:trPr>
        <w:tc>
          <w:tcPr>
            <w:tcW w:w="5440" w:type="dxa"/>
            <w:vAlign w:val="bottom"/>
            <w:vMerge w:val="continue"/>
          </w:tcPr>
          <w:p>
            <w:pPr>
              <w:spacing w:after="0"/>
              <w:rPr>
                <w:sz w:val="18"/>
                <w:szCs w:val="18"/>
                <w:color w:val="auto"/>
              </w:rPr>
            </w:pPr>
          </w:p>
        </w:tc>
        <w:tc>
          <w:tcPr>
            <w:tcW w:w="580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8"/>
                <w:szCs w:val="18"/>
                <w:color w:val="auto"/>
              </w:rPr>
              <w:t>All endorsements or assignments of ADRs must be guaranteed</w:t>
            </w:r>
          </w:p>
        </w:tc>
        <w:tc>
          <w:tcPr>
            <w:tcW w:w="0" w:type="dxa"/>
            <w:vAlign w:val="bottom"/>
          </w:tcPr>
          <w:p>
            <w:pPr>
              <w:spacing w:after="0"/>
              <w:rPr>
                <w:sz w:val="1"/>
                <w:szCs w:val="1"/>
                <w:color w:val="auto"/>
              </w:rPr>
            </w:pPr>
          </w:p>
        </w:tc>
      </w:tr>
      <w:tr>
        <w:trPr>
          <w:trHeight w:val="198"/>
        </w:trPr>
        <w:tc>
          <w:tcPr>
            <w:tcW w:w="5440" w:type="dxa"/>
            <w:vAlign w:val="bottom"/>
          </w:tcPr>
          <w:p>
            <w:pPr>
              <w:spacing w:after="0"/>
              <w:rPr>
                <w:sz w:val="17"/>
                <w:szCs w:val="17"/>
                <w:color w:val="auto"/>
              </w:rPr>
            </w:pPr>
          </w:p>
        </w:tc>
        <w:tc>
          <w:tcPr>
            <w:tcW w:w="5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58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a member of a Medallion Signature Program approved by</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58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the Securities Transfer Association, Inc.</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Depositary Notice</w:t>
      </w:r>
    </w:p>
    <w:p>
      <w:pPr>
        <w:spacing w:after="0" w:line="221" w:lineRule="exact"/>
        <w:rPr>
          <w:sz w:val="20"/>
          <w:szCs w:val="20"/>
          <w:color w:val="auto"/>
        </w:rPr>
      </w:pPr>
    </w:p>
    <w:p>
      <w:pPr>
        <w:jc w:val="center"/>
        <w:ind w:left="340" w:right="2300"/>
        <w:spacing w:after="0" w:line="268" w:lineRule="auto"/>
        <w:rPr>
          <w:sz w:val="20"/>
          <w:szCs w:val="20"/>
          <w:color w:val="auto"/>
        </w:rPr>
      </w:pPr>
      <w:r>
        <w:rPr>
          <w:rFonts w:ascii="Times New Roman" w:cs="Times New Roman" w:eastAsia="Times New Roman" w:hAnsi="Times New Roman"/>
          <w:sz w:val="18"/>
          <w:szCs w:val="18"/>
          <w:b w:val="1"/>
          <w:bCs w:val="1"/>
          <w:color w:val="auto"/>
        </w:rPr>
        <w:t>NOTICE OF AMENDMENT OF THE DEPOSIT AGREEMENT AND TERMINATION OF ADR FACILITY FOR TRIDENT DIGITAL TECH HOLDINGS LTD AMERICAN DEPOSITARY SHARES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Holders of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of Trident Digital Tech Holdings Ltd</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2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Company:</w:t>
            </w:r>
          </w:p>
        </w:tc>
        <w:tc>
          <w:tcPr>
            <w:tcW w:w="7960" w:type="dxa"/>
            <w:vAlign w:val="bottom"/>
            <w:tcBorders>
              <w:top w:val="single" w:sz="8" w:color="auto"/>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Trident Digital Tech Holdings Ltd, an exempted company with limited liability organized under the laws of</w:t>
            </w:r>
          </w:p>
        </w:tc>
      </w:tr>
      <w:tr>
        <w:trPr>
          <w:trHeight w:val="194"/>
        </w:trPr>
        <w:tc>
          <w:tcPr>
            <w:tcW w:w="3280" w:type="dxa"/>
            <w:vAlign w:val="bottom"/>
            <w:tcBorders>
              <w:left w:val="single" w:sz="8" w:color="auto"/>
              <w:right w:val="single" w:sz="8" w:color="auto"/>
            </w:tcBorders>
          </w:tcPr>
          <w:p>
            <w:pPr>
              <w:spacing w:after="0"/>
              <w:rPr>
                <w:sz w:val="16"/>
                <w:szCs w:val="16"/>
                <w:color w:val="auto"/>
              </w:rPr>
            </w:pPr>
          </w:p>
        </w:tc>
        <w:tc>
          <w:tcPr>
            <w:tcW w:w="7960" w:type="dxa"/>
            <w:vAlign w:val="bottom"/>
            <w:tcBorders>
              <w:right w:val="single" w:sz="8" w:color="auto"/>
            </w:tcBorders>
            <w:gridSpan w:val="7"/>
          </w:tcPr>
          <w:p>
            <w:pPr>
              <w:ind w:left="40"/>
              <w:spacing w:after="0" w:line="194" w:lineRule="exact"/>
              <w:rPr>
                <w:sz w:val="20"/>
                <w:szCs w:val="20"/>
                <w:color w:val="auto"/>
              </w:rPr>
            </w:pPr>
            <w:r>
              <w:rPr>
                <w:rFonts w:ascii="Times New Roman" w:cs="Times New Roman" w:eastAsia="Times New Roman" w:hAnsi="Times New Roman"/>
                <w:sz w:val="18"/>
                <w:szCs w:val="18"/>
                <w:color w:val="auto"/>
              </w:rPr>
              <w:t>the Cayman Islands, and its successors (the “Company”)</w:t>
            </w:r>
          </w:p>
        </w:tc>
      </w:tr>
      <w:tr>
        <w:trPr>
          <w:trHeight w:val="61"/>
        </w:trPr>
        <w:tc>
          <w:tcPr>
            <w:tcW w:w="328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700" w:type="dxa"/>
            <w:vAlign w:val="bottom"/>
            <w:tcBorders>
              <w:top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300" w:type="dxa"/>
            <w:vAlign w:val="bottom"/>
            <w:tcBorders>
              <w:bottom w:val="single" w:sz="8" w:color="auto"/>
              <w:right w:val="single" w:sz="8" w:color="auto"/>
            </w:tcBorders>
          </w:tcPr>
          <w:p>
            <w:pPr>
              <w:spacing w:after="0"/>
              <w:rPr>
                <w:sz w:val="5"/>
                <w:szCs w:val="5"/>
                <w:color w:val="auto"/>
              </w:rPr>
            </w:pPr>
          </w:p>
        </w:tc>
      </w:tr>
      <w:tr>
        <w:trPr>
          <w:trHeight w:val="250"/>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Depositary:</w:t>
            </w:r>
          </w:p>
        </w:tc>
        <w:tc>
          <w:tcPr>
            <w:tcW w:w="796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Citibank, N.A.</w:t>
            </w:r>
          </w:p>
        </w:tc>
      </w:tr>
      <w:tr>
        <w:trPr>
          <w:trHeight w:val="41"/>
        </w:trPr>
        <w:tc>
          <w:tcPr>
            <w:tcW w:w="328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50"/>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Custodian:</w:t>
            </w:r>
          </w:p>
        </w:tc>
        <w:tc>
          <w:tcPr>
            <w:tcW w:w="796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Citibank, N.A. - Hong Kong.</w:t>
            </w:r>
          </w:p>
        </w:tc>
      </w:tr>
      <w:tr>
        <w:trPr>
          <w:trHeight w:val="40"/>
        </w:trPr>
        <w:tc>
          <w:tcPr>
            <w:tcW w:w="328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10"/>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Deposited Securities:</w:t>
            </w:r>
          </w:p>
        </w:tc>
        <w:tc>
          <w:tcPr>
            <w:tcW w:w="796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Fully paid Class B ordinary shares of the Company (the “Shares”).</w:t>
            </w:r>
          </w:p>
        </w:tc>
      </w:tr>
      <w:tr>
        <w:trPr>
          <w:trHeight w:val="61"/>
        </w:trPr>
        <w:tc>
          <w:tcPr>
            <w:tcW w:w="328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top w:val="single" w:sz="8" w:color="auto"/>
              <w:bottom w:val="single" w:sz="8" w:color="auto"/>
            </w:tcBorders>
          </w:tcPr>
          <w:p>
            <w:pPr>
              <w:spacing w:after="0"/>
              <w:rPr>
                <w:sz w:val="5"/>
                <w:szCs w:val="5"/>
                <w:color w:val="auto"/>
              </w:rPr>
            </w:pPr>
          </w:p>
        </w:tc>
        <w:tc>
          <w:tcPr>
            <w:tcW w:w="3300" w:type="dxa"/>
            <w:vAlign w:val="bottom"/>
            <w:tcBorders>
              <w:bottom w:val="single" w:sz="8" w:color="auto"/>
              <w:right w:val="single" w:sz="8" w:color="auto"/>
            </w:tcBorders>
          </w:tcPr>
          <w:p>
            <w:pPr>
              <w:spacing w:after="0"/>
              <w:rPr>
                <w:sz w:val="5"/>
                <w:szCs w:val="5"/>
                <w:color w:val="auto"/>
              </w:rPr>
            </w:pPr>
          </w:p>
        </w:tc>
      </w:tr>
      <w:tr>
        <w:trPr>
          <w:trHeight w:val="250"/>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Existing ADS-to-Share Ratio:</w:t>
            </w:r>
          </w:p>
        </w:tc>
        <w:tc>
          <w:tcPr>
            <w:tcW w:w="796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Each ADS represents the right to receive two hundred forty (240) Shares.</w:t>
            </w:r>
          </w:p>
        </w:tc>
      </w:tr>
      <w:tr>
        <w:trPr>
          <w:trHeight w:val="40"/>
        </w:trPr>
        <w:tc>
          <w:tcPr>
            <w:tcW w:w="328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2"/>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Deposit Agreement:</w:t>
            </w:r>
          </w:p>
        </w:tc>
        <w:tc>
          <w:tcPr>
            <w:tcW w:w="796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Deposit Agreement, dated September 11, 2024, as amended by Amendment No. 1 to Deposit Agreement,</w:t>
            </w:r>
          </w:p>
        </w:tc>
      </w:tr>
      <w:tr>
        <w:trPr>
          <w:trHeight w:val="216"/>
        </w:trPr>
        <w:tc>
          <w:tcPr>
            <w:tcW w:w="3280" w:type="dxa"/>
            <w:vAlign w:val="bottom"/>
            <w:tcBorders>
              <w:left w:val="single" w:sz="8" w:color="auto"/>
              <w:right w:val="single" w:sz="8" w:color="auto"/>
            </w:tcBorders>
          </w:tcPr>
          <w:p>
            <w:pPr>
              <w:spacing w:after="0"/>
              <w:rPr>
                <w:sz w:val="18"/>
                <w:szCs w:val="18"/>
                <w:color w:val="auto"/>
              </w:rPr>
            </w:pPr>
          </w:p>
        </w:tc>
        <w:tc>
          <w:tcPr>
            <w:tcW w:w="796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dated as of April 24, 2026, as proposed to be amended by Amendment No. 2 to the Deposit Agreement (the</w:t>
            </w:r>
          </w:p>
        </w:tc>
      </w:tr>
      <w:tr>
        <w:trPr>
          <w:trHeight w:val="194"/>
        </w:trPr>
        <w:tc>
          <w:tcPr>
            <w:tcW w:w="3280" w:type="dxa"/>
            <w:vAlign w:val="bottom"/>
            <w:tcBorders>
              <w:left w:val="single" w:sz="8" w:color="auto"/>
              <w:right w:val="single" w:sz="8" w:color="auto"/>
            </w:tcBorders>
          </w:tcPr>
          <w:p>
            <w:pPr>
              <w:spacing w:after="0"/>
              <w:rPr>
                <w:sz w:val="16"/>
                <w:szCs w:val="16"/>
                <w:color w:val="auto"/>
              </w:rPr>
            </w:pPr>
          </w:p>
        </w:tc>
        <w:tc>
          <w:tcPr>
            <w:tcW w:w="7960" w:type="dxa"/>
            <w:vAlign w:val="bottom"/>
            <w:tcBorders>
              <w:right w:val="single" w:sz="8" w:color="auto"/>
            </w:tcBorders>
            <w:gridSpan w:val="7"/>
          </w:tcPr>
          <w:p>
            <w:pPr>
              <w:ind w:left="40"/>
              <w:spacing w:after="0" w:line="194" w:lineRule="exact"/>
              <w:rPr>
                <w:sz w:val="20"/>
                <w:szCs w:val="20"/>
                <w:color w:val="auto"/>
              </w:rPr>
            </w:pPr>
            <w:r>
              <w:rPr>
                <w:rFonts w:ascii="Times New Roman" w:cs="Times New Roman" w:eastAsia="Times New Roman" w:hAnsi="Times New Roman"/>
                <w:sz w:val="18"/>
                <w:szCs w:val="18"/>
                <w:color w:val="auto"/>
              </w:rPr>
              <w:t>“Deposit Agreement”), by and among the Company, the Depositary and all Holders and Beneficial Owners</w:t>
            </w:r>
          </w:p>
        </w:tc>
      </w:tr>
      <w:tr>
        <w:trPr>
          <w:trHeight w:val="20"/>
        </w:trPr>
        <w:tc>
          <w:tcPr>
            <w:tcW w:w="328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440" w:type="dxa"/>
            <w:vAlign w:val="bottom"/>
            <w:tcBorders>
              <w:right w:val="single" w:sz="8" w:color="auto"/>
            </w:tcBorders>
            <w:gridSpan w:val="5"/>
          </w:tcPr>
          <w:p>
            <w:pPr>
              <w:spacing w:after="0" w:line="20" w:lineRule="exact"/>
              <w:rPr>
                <w:sz w:val="1"/>
                <w:szCs w:val="1"/>
                <w:color w:val="auto"/>
              </w:rPr>
            </w:pPr>
          </w:p>
        </w:tc>
      </w:tr>
      <w:tr>
        <w:trPr>
          <w:trHeight w:val="237"/>
        </w:trPr>
        <w:tc>
          <w:tcPr>
            <w:tcW w:w="3280" w:type="dxa"/>
            <w:vAlign w:val="bottom"/>
            <w:tcBorders>
              <w:left w:val="single" w:sz="8" w:color="auto"/>
              <w:right w:val="single" w:sz="8" w:color="auto"/>
            </w:tcBorders>
          </w:tcPr>
          <w:p>
            <w:pPr>
              <w:spacing w:after="0"/>
              <w:rPr>
                <w:sz w:val="20"/>
                <w:szCs w:val="20"/>
                <w:color w:val="auto"/>
              </w:rPr>
            </w:pPr>
          </w:p>
        </w:tc>
        <w:tc>
          <w:tcPr>
            <w:tcW w:w="796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of ADSs issued thereunder.</w:t>
            </w:r>
          </w:p>
        </w:tc>
      </w:tr>
      <w:tr>
        <w:trPr>
          <w:trHeight w:val="40"/>
        </w:trPr>
        <w:tc>
          <w:tcPr>
            <w:tcW w:w="328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50"/>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ADS Symbol:</w:t>
            </w:r>
          </w:p>
        </w:tc>
        <w:tc>
          <w:tcPr>
            <w:tcW w:w="796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TDTH.*</w:t>
            </w:r>
          </w:p>
        </w:tc>
      </w:tr>
      <w:tr>
        <w:trPr>
          <w:trHeight w:val="40"/>
        </w:trPr>
        <w:tc>
          <w:tcPr>
            <w:tcW w:w="328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50"/>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Share Symbol:</w:t>
            </w:r>
          </w:p>
        </w:tc>
        <w:tc>
          <w:tcPr>
            <w:tcW w:w="796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[To be determined].*</w:t>
            </w:r>
          </w:p>
        </w:tc>
      </w:tr>
      <w:tr>
        <w:trPr>
          <w:trHeight w:val="41"/>
        </w:trPr>
        <w:tc>
          <w:tcPr>
            <w:tcW w:w="328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50"/>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Existing ADS CUSIP No.:</w:t>
            </w:r>
          </w:p>
        </w:tc>
        <w:tc>
          <w:tcPr>
            <w:tcW w:w="796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89616X205.*</w:t>
            </w:r>
          </w:p>
        </w:tc>
      </w:tr>
      <w:tr>
        <w:trPr>
          <w:trHeight w:val="40"/>
        </w:trPr>
        <w:tc>
          <w:tcPr>
            <w:tcW w:w="328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50"/>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Share CUSIP No.:</w:t>
            </w:r>
          </w:p>
        </w:tc>
        <w:tc>
          <w:tcPr>
            <w:tcW w:w="796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[To be determined].*</w:t>
            </w:r>
          </w:p>
        </w:tc>
      </w:tr>
      <w:tr>
        <w:trPr>
          <w:trHeight w:val="40"/>
        </w:trPr>
        <w:tc>
          <w:tcPr>
            <w:tcW w:w="328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2"/>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ADS-to-Share Ratio After Share</w:t>
            </w: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1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300" w:type="dxa"/>
            <w:vAlign w:val="bottom"/>
            <w:tcBorders>
              <w:right w:val="single" w:sz="8" w:color="auto"/>
            </w:tcBorders>
          </w:tcPr>
          <w:p>
            <w:pPr>
              <w:spacing w:after="0"/>
              <w:rPr>
                <w:sz w:val="20"/>
                <w:szCs w:val="20"/>
                <w:color w:val="auto"/>
              </w:rPr>
            </w:pPr>
          </w:p>
        </w:tc>
      </w:tr>
      <w:tr>
        <w:trPr>
          <w:trHeight w:val="234"/>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Consolidation (as defined below):</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300" w:type="dxa"/>
            <w:vAlign w:val="bottom"/>
            <w:tcBorders>
              <w:right w:val="single" w:sz="8" w:color="auto"/>
            </w:tcBorders>
          </w:tcPr>
          <w:p>
            <w:pPr>
              <w:spacing w:after="0"/>
              <w:rPr>
                <w:sz w:val="20"/>
                <w:szCs w:val="20"/>
                <w:color w:val="auto"/>
              </w:rPr>
            </w:pPr>
          </w:p>
        </w:tc>
      </w:tr>
      <w:tr>
        <w:trPr>
          <w:trHeight w:val="40"/>
        </w:trPr>
        <w:tc>
          <w:tcPr>
            <w:tcW w:w="328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2"/>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Books Closure Period to ADS Issuances</w:t>
            </w:r>
          </w:p>
        </w:tc>
        <w:tc>
          <w:tcPr>
            <w:tcW w:w="796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Beginning July 2, 2026 (5:00 PM New York time) and not to be reopened.</w:t>
            </w:r>
          </w:p>
        </w:tc>
      </w:tr>
      <w:tr>
        <w:trPr>
          <w:trHeight w:val="234"/>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and Cancellations:</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300" w:type="dxa"/>
            <w:vAlign w:val="bottom"/>
            <w:tcBorders>
              <w:right w:val="single" w:sz="8" w:color="auto"/>
            </w:tcBorders>
          </w:tcPr>
          <w:p>
            <w:pPr>
              <w:spacing w:after="0"/>
              <w:rPr>
                <w:sz w:val="20"/>
                <w:szCs w:val="20"/>
                <w:color w:val="auto"/>
              </w:rPr>
            </w:pPr>
          </w:p>
        </w:tc>
      </w:tr>
      <w:tr>
        <w:trPr>
          <w:trHeight w:val="40"/>
        </w:trPr>
        <w:tc>
          <w:tcPr>
            <w:tcW w:w="328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50"/>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Termination Date:</w:t>
            </w:r>
          </w:p>
        </w:tc>
        <w:tc>
          <w:tcPr>
            <w:tcW w:w="796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July 16, 2026 (5:00 PM New York time).</w:t>
            </w:r>
          </w:p>
        </w:tc>
      </w:tr>
      <w:tr>
        <w:trPr>
          <w:trHeight w:val="40"/>
        </w:trPr>
        <w:tc>
          <w:tcPr>
            <w:tcW w:w="328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bl>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symbols and CUSIP Nos. are provided as a convenience only and without any liability for accuracy.</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Notice is hereby given that, pursuant to Section 6.1 of the Deposit Agreement, the Company and the Depositary have agreed, effective as of July 16, 2026, to amend the Deposit Agreement to include a mandatory ADS cancellation and exchange process, to be implemented at the instruction of the Company, in the event of the termination of the ADR program existing pursuant to the Deposit Agreement.</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Depositary has filed (x) a form of Amendment No. 2 to the Deposit Agreement, and (y) a form of ADR that reflects the additional termination provision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cover of Post-Effective Amendment No. 2 to Registration Statement on Form F-6. A copy of the filing is available from the SEC’s website at www.sec.gov under Registration Number 333-257089.</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have any questions about the above amendment, please call Citibank ADR Shareholder Services at 1-877-248-4237. Copies of the Deposit Agreement, including Amendment No. 2 to the Deposit Agreement, are available at the principal offices of the Depositary located at 388 Greenwich Street, New York, NY 10013 and can be retrieved from the SEC’s website at www.sec.gov under Registration Number 333-257089.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CITIBANK, N.A. HEREBY GIVES NOTICE OF THE TERMINATION OF THE AMERICAN DEPOSITARY RECEIPTS FACILITY FOR THE ADSs EFFECTIVE AS OF THE TERMINATION DATE.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6.2 of the Deposit Agreement, the Company has directed the Depositary to terminate the Deposit Agreement and to implement a mandatory exchange of Shares for, and mandatory cancellation of, the ADSs. As a result of the termination of the Company’s American Depositary Receipts (the “</w:t>
      </w: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facility in accordance with the Deposit Agreement, upon the Termination Date, holders of ADSs will have their ADSs automatically cancelled and would be entitled to receive the corresponding underlying Deposited Securities (the “</w:t>
      </w:r>
      <w:r>
        <w:rPr>
          <w:rFonts w:ascii="Times New Roman" w:cs="Times New Roman" w:eastAsia="Times New Roman" w:hAnsi="Times New Roman"/>
          <w:sz w:val="18"/>
          <w:szCs w:val="18"/>
          <w:u w:val="single" w:color="auto"/>
          <w:color w:val="auto"/>
        </w:rPr>
        <w:t>Mandatory Exchange</w:t>
      </w:r>
      <w:r>
        <w:rPr>
          <w:rFonts w:ascii="Times New Roman" w:cs="Times New Roman" w:eastAsia="Times New Roman" w:hAnsi="Times New Roman"/>
          <w:sz w:val="18"/>
          <w:szCs w:val="18"/>
          <w:color w:val="auto"/>
        </w:rPr>
        <w:t>”) at a rate of two hundred forty (240) Shares for each ADS cancelled.</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effectuating the Mandatory Exchange, the Depositary shall be discharged from all obligations under the Deposit Agreement with respect to the ADRs, the Deposited Securities and the ADSs under the Deposit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have any questions about the above termination and Mandatory Exchange, please call Citibank ADR Shareholder Services at 1-877-248-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4237.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Consolidation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further advised the Depositary that immediately following the Mandatory Exchange, the Company will independently undertake a consolidation of the Company’s Shares at a rate of one (1) new Share for every two hundred forty (240) existing Shares (the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Consolidation</w:t>
      </w:r>
      <w:r>
        <w:rPr>
          <w:rFonts w:ascii="Times New Roman" w:cs="Times New Roman" w:eastAsia="Times New Roman" w:hAnsi="Times New Roman"/>
          <w:sz w:val="18"/>
          <w:szCs w:val="18"/>
          <w:color w:val="auto"/>
        </w:rPr>
        <w:t>”). The Share Consolidation having become effective at the time of the termination of the ADR program and the Mandatory Exchange of ADSs, former ADS holders should expect to receive as part of the Mandatory Exchange and termination of the ADR program one (1) new Share for every one (1) ADS previously held. For further information about the Share Consolidation (including the exact timing of the Share Consolidation), please contact the Company or its New York registrar and transfer agent, V Stock Transfer, LLC, at 1-212-828-8436.</w:t>
      </w:r>
    </w:p>
    <w:p>
      <w:pPr>
        <w:spacing w:after="0" w:line="187" w:lineRule="exact"/>
        <w:rPr>
          <w:sz w:val="20"/>
          <w:szCs w:val="20"/>
          <w:color w:val="auto"/>
        </w:rPr>
      </w:pPr>
    </w:p>
    <w:p>
      <w:pPr>
        <w:spacing w:after="0"/>
        <w:tabs>
          <w:tab w:leader="none" w:pos="9140" w:val="left"/>
        </w:tabs>
        <w:rPr>
          <w:sz w:val="20"/>
          <w:szCs w:val="20"/>
          <w:color w:val="auto"/>
        </w:rPr>
      </w:pPr>
      <w:r>
        <w:rPr>
          <w:rFonts w:ascii="Times New Roman" w:cs="Times New Roman" w:eastAsia="Times New Roman" w:hAnsi="Times New Roman"/>
          <w:sz w:val="18"/>
          <w:szCs w:val="18"/>
          <w:color w:val="auto"/>
        </w:rPr>
        <w:t>Date: June 16, 2026</w:t>
      </w:r>
      <w:r>
        <w:rPr>
          <w:sz w:val="20"/>
          <w:szCs w:val="20"/>
          <w:color w:val="auto"/>
        </w:rPr>
        <w:tab/>
      </w:r>
      <w:r>
        <w:rPr>
          <w:rFonts w:ascii="Times New Roman" w:cs="Times New Roman" w:eastAsia="Times New Roman" w:hAnsi="Times New Roman"/>
          <w:sz w:val="17"/>
          <w:szCs w:val="17"/>
          <w:color w:val="auto"/>
        </w:rPr>
        <w:t>Citibank, N.A. as Depositary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lowerRoman"/>
      <w:start w:val="1"/>
    </w:lvl>
  </w:abstractNum>
  <w:abstractNum w:abstractNumId="2">
    <w:nsid w:val="333AB105"/>
    <w:multiLevelType w:val="hybridMultilevel"/>
    <w:lvl w:ilvl="0">
      <w:lvlJc w:val="left"/>
      <w:lvlText w:val="%1."/>
      <w:numFmt w:val="decimal"/>
      <w:start w:val="3"/>
    </w:lvl>
  </w:abstractNum>
  <w:abstractNum w:abstractNumId="3">
    <w:nsid w:val="721DA317"/>
    <w:multiLevelType w:val="hybridMultilevel"/>
    <w:lvl w:ilvl="0">
      <w:lvlJc w:val="left"/>
      <w:lvlText w:val="(%1)"/>
      <w:numFmt w:val="lowerLetter"/>
      <w:start w:val="2"/>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1)"/>
      <w:numFmt w:val="lowerLetter"/>
      <w:start w:val="2"/>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lowerRoman"/>
      <w:start w:val="1"/>
    </w:lvl>
    <w:lvl w:ilvl="1">
      <w:lvlJc w:val="left"/>
      <w:lvlText w:val="(%2)"/>
      <w:numFmt w:val="decimal"/>
      <w:start w:val="2"/>
    </w:lvl>
  </w:abstractNum>
  <w:abstractNum w:abstractNumId="11">
    <w:nsid w:val="B03E0C6"/>
    <w:multiLevelType w:val="hybridMultilevel"/>
    <w:lvl w:ilvl="0">
      <w:lvlJc w:val="left"/>
      <w:lvlText w:val="(%1)"/>
      <w:numFmt w:val="lowerRoman"/>
      <w:start w:val="4"/>
    </w:lvl>
    <w:lvl w:ilvl="1">
      <w:lvlJc w:val="left"/>
      <w:lvlText w:val="%2"/>
      <w:numFmt w:val="decimal"/>
      <w:start w:val="1"/>
    </w:lvl>
  </w:abstractNum>
  <w:abstractNum w:abstractNumId="12">
    <w:nsid w:val="189A769B"/>
    <w:multiLevelType w:val="hybridMultilevel"/>
    <w:lvl w:ilvl="0">
      <w:lvlJc w:val="left"/>
      <w:lvlText w:val="(%1)"/>
      <w:numFmt w:val="decimal"/>
      <w:start w:val="3"/>
    </w:lvl>
  </w:abstractNum>
  <w:abstractNum w:abstractNumId="13">
    <w:nsid w:val="54E49EB4"/>
    <w:multiLevelType w:val="hybridMultilevel"/>
    <w:lvl w:ilvl="0">
      <w:lvlJc w:val="left"/>
      <w:lvlText w:val="(%1)"/>
      <w:numFmt w:val="lowerRoman"/>
      <w:start w:val="2"/>
    </w:lvl>
    <w:lvl w:ilvl="1">
      <w:lvlJc w:val="left"/>
      <w:lvlText w:val="(%2)"/>
      <w:numFmt w:val="decimal"/>
      <w:start w:val="4"/>
    </w:lvl>
  </w:abstractNum>
  <w:abstractNum w:abstractNumId="14">
    <w:nsid w:val="71F32454"/>
    <w:multiLevelType w:val="hybridMultilevel"/>
    <w:lvl w:ilvl="0">
      <w:lvlJc w:val="left"/>
      <w:lvlText w:val="(%1)"/>
      <w:numFmt w:val="decimal"/>
      <w:start w:val="5"/>
    </w:lvl>
  </w:abstractNum>
  <w:abstractNum w:abstractNumId="15">
    <w:nsid w:val="2CA88611"/>
    <w:multiLevelType w:val="hybridMultilevel"/>
    <w:lvl w:ilvl="0">
      <w:lvlJc w:val="left"/>
      <w:lvlText w:val="(%1)"/>
      <w:numFmt w:val="decimal"/>
      <w:start w:val="8"/>
    </w:lvl>
  </w:abstractNum>
  <w:abstractNum w:abstractNumId="16">
    <w:nsid w:val="836C40E"/>
    <w:multiLevelType w:val="hybridMultilevel"/>
    <w:lvl w:ilvl="0">
      <w:lvlJc w:val="left"/>
      <w:lvlText w:val="%1"/>
      <w:numFmt w:val="lowerRoman"/>
      <w:start w:val="1"/>
    </w:lvl>
    <w:lvl w:ilvl="1">
      <w:lvlJc w:val="left"/>
      <w:lvlText w:val="(%2)"/>
      <w:numFmt w:val="decimal"/>
      <w:start w:val="10"/>
    </w:lvl>
  </w:abstractNum>
  <w:abstractNum w:abstractNumId="17">
    <w:nsid w:val="2901D82"/>
    <w:multiLevelType w:val="hybridMultilevel"/>
    <w:lvl w:ilvl="0">
      <w:lvlJc w:val="left"/>
      <w:lvlText w:val="(%1)"/>
      <w:numFmt w:val="lowerRoman"/>
      <w:start w:val="1"/>
    </w:lvl>
    <w:lvl w:ilvl="1">
      <w:lvlJc w:val="left"/>
      <w:lvlText w:val="%2"/>
      <w:numFmt w:val="decimal"/>
      <w:start w:val="1"/>
    </w:lvl>
  </w:abstractNum>
  <w:abstractNum w:abstractNumId="18">
    <w:nsid w:val="3A95F874"/>
    <w:multiLevelType w:val="hybridMultilevel"/>
    <w:lvl w:ilvl="0">
      <w:lvlJc w:val="left"/>
      <w:lvlText w:val="(%1)"/>
      <w:numFmt w:val="lowerRoman"/>
      <w:start w:val="7"/>
    </w:lvl>
  </w:abstractNum>
  <w:abstractNum w:abstractNumId="19">
    <w:nsid w:val="8138641"/>
    <w:multiLevelType w:val="hybridMultilevel"/>
    <w:lvl w:ilvl="0">
      <w:lvlJc w:val="left"/>
      <w:lvlText w:val="(%1)"/>
      <w:numFmt w:val="lowerRoman"/>
      <w:start w:val="1"/>
    </w:lvl>
  </w:abstractNum>
  <w:abstractNum w:abstractNumId="20">
    <w:nsid w:val="1E7FF521"/>
    <w:multiLevelType w:val="hybridMultilevel"/>
    <w:lvl w:ilvl="0">
      <w:lvlJc w:val="left"/>
      <w:lvlText w:val="(%1)"/>
      <w:numFmt w:val="decimal"/>
      <w:start w:val="12"/>
    </w:lvl>
  </w:abstractNum>
  <w:abstractNum w:abstractNumId="21">
    <w:nsid w:val="7C3DBD3D"/>
    <w:multiLevelType w:val="hybridMultilevel"/>
    <w:lvl w:ilvl="0">
      <w:lvlJc w:val="left"/>
      <w:lvlText w:val="(%1)"/>
      <w:numFmt w:val="decimal"/>
      <w:start w:val="13"/>
    </w:lvl>
  </w:abstractNum>
  <w:abstractNum w:abstractNumId="22">
    <w:nsid w:val="737B8DDC"/>
    <w:multiLevelType w:val="hybridMultilevel"/>
    <w:lvl w:ilvl="0">
      <w:lvlJc w:val="left"/>
      <w:lvlText w:val="(%1)"/>
      <w:numFmt w:val="decimal"/>
      <w:start w:val="15"/>
    </w:lvl>
    <w:lvl w:ilvl="1">
      <w:lvlJc w:val="left"/>
      <w:lvlText w:val="(%2)"/>
      <w:numFmt w:val="lowerLetter"/>
      <w:start w:val="2"/>
    </w:lvl>
  </w:abstractNum>
  <w:abstractNum w:abstractNumId="23">
    <w:nsid w:val="6CEAF087"/>
    <w:multiLevelType w:val="hybridMultilevel"/>
    <w:lvl w:ilvl="0">
      <w:lvlJc w:val="left"/>
      <w:lvlText w:val="(%1)"/>
      <w:numFmt w:val="lowerLetter"/>
      <w:start w:val="3"/>
    </w:lvl>
  </w:abstractNum>
  <w:abstractNum w:abstractNumId="24">
    <w:nsid w:val="22221A70"/>
    <w:multiLevelType w:val="hybridMultilevel"/>
    <w:lvl w:ilvl="0">
      <w:lvlJc w:val="left"/>
      <w:lvlText w:val="(%1)"/>
      <w:numFmt w:val="lowerLetter"/>
      <w:start w:val="4"/>
    </w:lvl>
  </w:abstractNum>
  <w:abstractNum w:abstractNumId="25">
    <w:nsid w:val="4516DDE9"/>
    <w:multiLevelType w:val="hybridMultilevel"/>
    <w:lvl w:ilvl="0">
      <w:lvlJc w:val="left"/>
      <w:lvlText w:val="%1"/>
      <w:numFmt w:val="lowerLetter"/>
      <w:start w:val="1"/>
    </w:lvl>
    <w:lvl w:ilvl="1">
      <w:lvlJc w:val="left"/>
      <w:lvlText w:val="(%2)"/>
      <w:numFmt w:val="lowerLetter"/>
      <w:start w:val="5"/>
    </w:lvl>
  </w:abstractNum>
  <w:abstractNum w:abstractNumId="26">
    <w:nsid w:val="3006C83E"/>
    <w:multiLevelType w:val="hybridMultilevel"/>
    <w:lvl w:ilvl="0">
      <w:lvlJc w:val="left"/>
      <w:lvlText w:val="(%1)"/>
      <w:numFmt w:val="lowerLetter"/>
      <w:start w:val="61"/>
    </w:lvl>
    <w:lvl w:ilvl="1">
      <w:lvlJc w:val="left"/>
      <w:lvlText w:val="%2"/>
      <w:numFmt w:val="lowerLetter"/>
      <w:start w:val="1"/>
    </w:lvl>
  </w:abstractNum>
  <w:abstractNum w:abstractNumId="27">
    <w:nsid w:val="614FD4A1"/>
    <w:multiLevelType w:val="hybridMultilevel"/>
    <w:lvl w:ilvl="0">
      <w:lvlJc w:val="left"/>
      <w:lvlText w:val="(%1)"/>
      <w:numFmt w:val="decimal"/>
      <w:start w:val="16"/>
    </w:lvl>
  </w:abstractNum>
  <w:abstractNum w:abstractNumId="28">
    <w:nsid w:val="419AC241"/>
    <w:multiLevelType w:val="hybridMultilevel"/>
    <w:lvl w:ilvl="0">
      <w:lvlJc w:val="left"/>
      <w:lvlText w:val="(%1)"/>
      <w:numFmt w:val="decimal"/>
      <w:start w:val="17"/>
    </w:lvl>
  </w:abstractNum>
  <w:abstractNum w:abstractNumId="29">
    <w:nsid w:val="5577F8E1"/>
    <w:multiLevelType w:val="hybridMultilevel"/>
    <w:lvl w:ilvl="0">
      <w:lvlJc w:val="left"/>
      <w:lvlText w:val="%1"/>
      <w:numFmt w:val="lowerRoman"/>
      <w:start w:val="1"/>
    </w:lvl>
    <w:lvl w:ilvl="1">
      <w:lvlJc w:val="left"/>
      <w:lvlText w:val="(%2)"/>
      <w:numFmt w:val="decimal"/>
      <w:start w:val="19"/>
    </w:lvl>
  </w:abstractNum>
  <w:abstractNum w:abstractNumId="30">
    <w:nsid w:val="440BADFC"/>
    <w:multiLevelType w:val="hybridMultilevel"/>
    <w:lvl w:ilvl="0">
      <w:lvlJc w:val="left"/>
      <w:lvlText w:val="(%1)"/>
      <w:numFmt w:val="lowerRoman"/>
      <w:start w:val="2"/>
    </w:lvl>
    <w:lvl w:ilvl="1">
      <w:lvlJc w:val="left"/>
      <w:lvlText w:val="%2"/>
      <w:numFmt w:val="decimal"/>
      <w:start w:val="1"/>
    </w:lvl>
  </w:abstractNum>
  <w:abstractNum w:abstractNumId="31">
    <w:nsid w:val="5072367"/>
    <w:multiLevelType w:val="hybridMultilevel"/>
    <w:lvl w:ilvl="0">
      <w:lvlJc w:val="left"/>
      <w:lvlText w:val="(%1)"/>
      <w:numFmt w:val="decimal"/>
      <w:start w:val="20"/>
    </w:lvl>
  </w:abstractNum>
  <w:abstractNum w:abstractNumId="32">
    <w:nsid w:val="3804823E"/>
    <w:multiLevelType w:val="hybridMultilevel"/>
    <w:lvl w:ilvl="0">
      <w:lvlJc w:val="left"/>
      <w:lvlText w:val="(%1)"/>
      <w:numFmt w:val="decimal"/>
      <w:start w:val="22"/>
    </w:lvl>
  </w:abstractNum>
  <w:abstractNum w:abstractNumId="33">
    <w:nsid w:val="77465F01"/>
    <w:multiLevelType w:val="hybridMultilevel"/>
    <w:lvl w:ilvl="0">
      <w:lvlJc w:val="left"/>
      <w:lvlText w:val="%1"/>
      <w:numFmt w:val="decimal"/>
      <w:start w:val="1"/>
    </w:lvl>
    <w:lvl w:ilvl="1">
      <w:lvlJc w:val="left"/>
      <w:lvlText w:val="(%2)"/>
      <w:numFmt w:val="decimal"/>
      <w:start w:val="23"/>
    </w:lvl>
  </w:abstractNum>
  <w:abstractNum w:abstractNumId="34">
    <w:nsid w:val="7724C67E"/>
    <w:multiLevelType w:val="hybridMultilevel"/>
    <w:lvl w:ilvl="0">
      <w:lvlJc w:val="left"/>
      <w:lvlText w:val="(%1)"/>
      <w:numFmt w:val="decimal"/>
      <w:start w:val="30"/>
    </w:lvl>
    <w:lvl w:ilvl="1">
      <w:lvlJc w:val="left"/>
      <w:lvlText w:val="%2"/>
      <w:numFmt w:val="decimal"/>
      <w:start w:val="1"/>
    </w:lvl>
  </w:abstractNum>
  <w:abstractNum w:abstractNumId="35">
    <w:nsid w:val="5C482A97"/>
    <w:multiLevelType w:val="hybridMultilevel"/>
    <w:lvl w:ilvl="0">
      <w:lvlJc w:val="left"/>
      <w:lvlText w:val="%1"/>
      <w:numFmt w:val="lowerRoman"/>
      <w:start w:val="1"/>
    </w:lvl>
    <w:lvl w:ilvl="1">
      <w:lvlJc w:val="left"/>
      <w:lvlText w:val="(%2)"/>
      <w:numFmt w:val="decimal"/>
      <w:start w:val="24"/>
    </w:lvl>
  </w:abstractNum>
  <w:abstractNum w:abstractNumId="36">
    <w:nsid w:val="2463B9EA"/>
    <w:multiLevelType w:val="hybridMultilevel"/>
    <w:lvl w:ilvl="0">
      <w:lvlJc w:val="left"/>
      <w:lvlText w:val="(%1)"/>
      <w:numFmt w:val="lowerRoman"/>
      <w:start w:val="1"/>
    </w:lvl>
    <w:lvl w:ilvl="1">
      <w:lvlJc w:val="left"/>
      <w:lvlText w:val="%2"/>
      <w:numFmt w:val="decimal"/>
      <w:start w:val="1"/>
    </w:lvl>
  </w:abstractNum>
  <w:abstractNum w:abstractNumId="37">
    <w:nsid w:val="5E884ADC"/>
    <w:multiLevelType w:val="hybridMultilevel"/>
    <w:lvl w:ilvl="0">
      <w:lvlJc w:val="left"/>
      <w:lvlText w:val="(%1)"/>
      <w:numFmt w:val="decimal"/>
      <w:start w:val="25"/>
    </w:lvl>
    <w:lvl w:ilvl="1">
      <w:lvlJc w:val="left"/>
      <w:lvlText w:val="(%2)"/>
      <w:numFmt w:val="lowerLetter"/>
      <w:start w:val="2"/>
    </w:lvl>
  </w:abstractNum>
  <w:abstractNum w:abstractNumId="38">
    <w:nsid w:val="51EAD36B"/>
    <w:multiLevelType w:val="hybridMultilevel"/>
    <w:lvl w:ilvl="0">
      <w:lvlJc w:val="left"/>
      <w:lvlText w:val="%1"/>
      <w:numFmt w:val="lowerRoman"/>
      <w:start w:val="1"/>
    </w:lvl>
    <w:lvl w:ilvl="1">
      <w:lvlJc w:val="left"/>
      <w:lvlText w:val="(%2)"/>
      <w:numFmt w:val="decimal"/>
      <w:start w:val="26"/>
    </w:lvl>
  </w:abstractNum>
  <w:abstractNum w:abstractNumId="39">
    <w:nsid w:val="2D517796"/>
    <w:multiLevelType w:val="hybridMultilevel"/>
    <w:lvl w:ilvl="0">
      <w:lvlJc w:val="left"/>
      <w:lvlText w:val="(%1)"/>
      <w:numFmt w:val="lowerRoman"/>
      <w:start w:val="4"/>
    </w:lvl>
    <w:lvl w:ilvl="1">
      <w:lvlJc w:val="left"/>
      <w:lvlText w:val="(%2)"/>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2026-06-17T05:05:57Z</dcterms:created>
  <dcterms:modified xsi:type="dcterms:W3CDTF">2026-06-17T05:05:57Z</dcterms:modified>
</cp:coreProperties>
</file>