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color w:val="auto"/>
        </w:rPr>
        <w:t>September 6, 2024</w:t>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Ms. Rucha Pandit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Mr. Dietrich King</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Mr. Stephen Kim</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Ms. Angela Lumley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Trade &amp; Services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Trident Digital Tech Holdings Ltd (CIK No. 0001983550)</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Statement on Form F-1 (File No. 333-274857)</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Statement on Form 8-A (File No. 001-41848)</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Ladies and Gentlemen:</w:t>
      </w:r>
    </w:p>
    <w:p>
      <w:pPr>
        <w:spacing w:after="0" w:line="225"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Rule 461 of Regulation C (“Rule 461”) promulgated under the Securities Act of 1933, as amended, Trident Digital Tech Holdings Ltd (the “Company”) hereby requests that the effectiveness of the above-referenced Registration Statement on Form F-1 (the “F-1 Registration Statement”) be accelerated to, and that the F-1 Registration Statement become effective at, 5:00 p.m., Eastern Time on September 9, 2024, or as soon thereafter as practicable.</w:t>
      </w:r>
    </w:p>
    <w:p>
      <w:pPr>
        <w:spacing w:after="0" w:line="180"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also requests that the Registration Statement on Form 8-A under the Securities Exchange Act of 1934, covering the American depositary shares representing Class B ordinary shares of the Company, be declared effective concurrently with the F-1 Registration Statement (the F-1 Registration Statement, together with the Registration Statement on Form 8-A, the “Registration Statements”).</w:t>
      </w:r>
    </w:p>
    <w:p>
      <w:pPr>
        <w:spacing w:after="0" w:line="176"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there is any change in the acceleration request set forth above, the Company will promptly notify you of the change, in which case the Company may be making an oral request of acceleration of the effectiveness of the Registration Statements in accordance with Rule 461 of Regulation C. Such request may be made by an executive officer of the Company or by any attorney from the Company’s U.S. counsel, Hogan Lovells.</w:t>
      </w:r>
    </w:p>
    <w:p>
      <w:pPr>
        <w:spacing w:after="0" w:line="176" w:lineRule="exact"/>
        <w:rPr>
          <w:sz w:val="24"/>
          <w:szCs w:val="24"/>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understands that the representative of the underwriters, on behalf of the prospective underwriters of the offering, has joined in this request in a separate letter filed with the Securities and Exchange Commission today.</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Soon Huat Lim</w:t>
            </w:r>
          </w:p>
        </w:tc>
      </w:tr>
      <w:tr>
        <w:trPr>
          <w:trHeight w:val="198"/>
        </w:trPr>
        <w:tc>
          <w:tcPr>
            <w:tcW w:w="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Soon Huat Lim</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pacing w:after="0" w:line="196" w:lineRule="exact"/>
        <w:rPr>
          <w:sz w:val="20"/>
          <w:szCs w:val="20"/>
          <w:color w:val="auto"/>
        </w:rPr>
      </w:pPr>
    </w:p>
    <w:p>
      <w:pPr>
        <w:jc w:val="right"/>
        <w:ind w:right="2759"/>
        <w:spacing w:after="0"/>
        <w:rPr>
          <w:sz w:val="20"/>
          <w:szCs w:val="20"/>
          <w:color w:val="auto"/>
        </w:rPr>
      </w:pPr>
      <w:r>
        <w:rPr>
          <w:rFonts w:ascii="Times New Roman" w:cs="Times New Roman" w:eastAsia="Times New Roman" w:hAnsi="Times New Roman"/>
          <w:sz w:val="18"/>
          <w:szCs w:val="18"/>
          <w:i w:val="1"/>
          <w:iCs w:val="1"/>
          <w:color w:val="auto"/>
        </w:rPr>
        <w:t>[Signature Page to Issuer Acceleration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3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2024-10-07T23:12:57Z</dcterms:created>
  <dcterms:modified xsi:type="dcterms:W3CDTF">2024-10-07T23:12:57Z</dcterms:modified>
</cp:coreProperties>
</file>