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2024.</w:t>
      </w:r>
    </w:p>
    <w:p>
      <w:pPr>
        <w:spacing w:after="0" w:line="50"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Stephanie Tang, Esq.</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Ross David Carmel, Esq.</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Hogan Lovells</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Barry P. Biggar, Esq.</w:t>
            </w:r>
          </w:p>
        </w:tc>
      </w:tr>
      <w:tr>
        <w:trPr>
          <w:trHeight w:val="216"/>
        </w:trPr>
        <w:tc>
          <w:tcPr>
            <w:tcW w:w="29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11</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Pacific Place</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Sichenzia Ross Ference Carmel LLP</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374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1185 Avenue of the Americas 31</w:t>
            </w:r>
            <w:r>
              <w:rPr>
                <w:rFonts w:ascii="Times New Roman" w:cs="Times New Roman" w:eastAsia="Times New Roman" w:hAnsi="Times New Roman"/>
                <w:sz w:val="20"/>
                <w:szCs w:val="20"/>
                <w:b w:val="1"/>
                <w:bCs w:val="1"/>
                <w:color w:val="auto"/>
                <w:w w:val="98"/>
                <w:vertAlign w:val="superscript"/>
              </w:rPr>
              <w:t>st</w:t>
            </w:r>
            <w:r>
              <w:rPr>
                <w:rFonts w:ascii="Times New Roman" w:cs="Times New Roman" w:eastAsia="Times New Roman" w:hAnsi="Times New Roman"/>
                <w:sz w:val="18"/>
                <w:szCs w:val="18"/>
                <w:b w:val="1"/>
                <w:bCs w:val="1"/>
                <w:color w:val="auto"/>
                <w:w w:val="98"/>
              </w:rPr>
              <w:t xml:space="preserve"> Floor</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+1 212 930 9700</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52" w:lineRule="exact"/>
        <w:rPr>
          <w:sz w:val="24"/>
          <w:szCs w:val="24"/>
          <w:color w:val="auto"/>
        </w:rPr>
      </w:pPr>
    </w:p>
    <w:p>
      <w:pPr>
        <w:ind w:left="460" w:right="6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460" w:right="71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460" w:right="63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9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1119" w:firstLine="432"/>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99" w:firstLine="432"/>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839" w:hanging="426"/>
        <w:spacing w:after="0" w:line="298" w:lineRule="auto"/>
        <w:tabs>
          <w:tab w:leader="none" w:pos="8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936" w:orient="portrait"/>
          <w:cols w:equalWidth="0" w:num="1">
            <w:col w:w="9019"/>
          </w:cols>
          <w:pgMar w:left="1440" w:top="333" w:right="1440" w:bottom="0" w:gutter="0" w:footer="0" w:header="0"/>
        </w:sectPr>
      </w:pPr>
    </w:p>
    <w:bookmarkStart w:id="1" w:name="page2"/>
    <w:bookmarkEnd w:id="1"/>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F-1 (File No. 333-274857) contains disclosure that will be circulated as two separate final prospectuses, as set forth below.</w:t>
      </w:r>
    </w:p>
    <w:p>
      <w:pPr>
        <w:spacing w:after="0" w:line="94" w:lineRule="exact"/>
        <w:rPr>
          <w:sz w:val="20"/>
          <w:szCs w:val="20"/>
          <w:color w:val="auto"/>
        </w:rPr>
      </w:pPr>
    </w:p>
    <w:p>
      <w:pPr>
        <w:ind w:left="1320" w:right="579" w:hanging="434"/>
        <w:spacing w:after="0" w:line="258"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prospectus. A prospectus (the “Public Offering Prospectus”) to be used for the public offering of 1,800,000 American depositary shares representing 14,400,000 Class B ordinary shares of the Registrant (the “Public Offering ADSs”), based on an assumed initial public offering price of US$6.00, through the underwriter named on the cover page of the Public Offering Prospectus.</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5"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based on an assumed initial public offering price of US$6.00. The Selling Shareholder owns Class B ordinary shares of the Registrant prior to this offering, which will be converted into Shareholder ADSs effective immediately prior to the effective time of this registration statement.</w:t>
      </w:r>
    </w:p>
    <w:p>
      <w:pPr>
        <w:spacing w:after="0" w:line="108"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The Resale Prospectus is substantively identical to the Public Offering Prospectus, except for the following principal points:</w:t>
      </w:r>
    </w:p>
    <w:p>
      <w:pPr>
        <w:spacing w:after="0" w:line="94" w:lineRule="exact"/>
        <w:rPr>
          <w:sz w:val="20"/>
          <w:szCs w:val="20"/>
          <w:color w:val="auto"/>
        </w:rPr>
      </w:pPr>
    </w:p>
    <w:p>
      <w:pPr>
        <w:ind w:left="1320" w:right="65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spacing w:after="0" w:line="102"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spacing w:after="0" w:line="90" w:lineRule="exact"/>
        <w:rPr>
          <w:rFonts w:ascii="Times New Roman" w:cs="Times New Roman" w:eastAsia="Times New Roman" w:hAnsi="Times New Roman"/>
          <w:sz w:val="17"/>
          <w:szCs w:val="17"/>
          <w:color w:val="auto"/>
        </w:rPr>
      </w:pPr>
    </w:p>
    <w:p>
      <w:pPr>
        <w:ind w:left="1320" w:right="119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Capitalization and Dilution sections included in the Public Offering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Shareholder” section is only included in the Resale Prospectus;</w:t>
      </w:r>
    </w:p>
    <w:p>
      <w:pPr>
        <w:spacing w:after="0" w:line="144" w:lineRule="exact"/>
        <w:rPr>
          <w:rFonts w:ascii="Times New Roman" w:cs="Times New Roman" w:eastAsia="Times New Roman" w:hAnsi="Times New Roman"/>
          <w:sz w:val="18"/>
          <w:szCs w:val="18"/>
          <w:color w:val="auto"/>
        </w:rPr>
      </w:pPr>
    </w:p>
    <w:p>
      <w:pPr>
        <w:ind w:left="1320" w:right="819" w:hanging="434"/>
        <w:spacing w:after="0" w:line="312"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section from the Public Offering Prospectus is not included in the Resale Prospectus and the “Plan of Distribution” section is included only in the Resale Prospectus; and</w:t>
      </w:r>
    </w:p>
    <w:p>
      <w:pPr>
        <w:spacing w:after="0" w:line="72" w:lineRule="exact"/>
        <w:rPr>
          <w:rFonts w:ascii="Times New Roman" w:cs="Times New Roman" w:eastAsia="Times New Roman" w:hAnsi="Times New Roman"/>
          <w:sz w:val="17"/>
          <w:szCs w:val="17"/>
          <w:color w:val="auto"/>
        </w:rPr>
      </w:pPr>
    </w:p>
    <w:p>
      <w:pPr>
        <w:ind w:left="1320" w:right="83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Legal Matters section and does not include a reference to counsel for the underwriter.</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spacing w:after="0" w:line="106" w:lineRule="exact"/>
        <w:rPr>
          <w:sz w:val="20"/>
          <w:szCs w:val="20"/>
          <w:color w:val="auto"/>
        </w:rPr>
      </w:pPr>
    </w:p>
    <w:p>
      <w:pPr>
        <w:ind w:left="460" w:right="659" w:firstLine="432"/>
        <w:spacing w:after="0" w:line="273" w:lineRule="auto"/>
        <w:rPr>
          <w:sz w:val="20"/>
          <w:szCs w:val="20"/>
          <w:color w:val="auto"/>
        </w:rPr>
      </w:pPr>
      <w:r>
        <w:rPr>
          <w:rFonts w:ascii="Times New Roman" w:cs="Times New Roman" w:eastAsia="Times New Roman" w:hAnsi="Times New Roman"/>
          <w:sz w:val="17"/>
          <w:szCs w:val="17"/>
          <w:color w:val="auto"/>
        </w:rPr>
        <w:t>The Selling Shareholder has represented to the Registrant that they will consider selling some or all of their respective Shareholder ADSs registered pursuant to this registration statement immediately after the pricing of the public offering, as requested by the underwriter for the public offering in order to create an orderly, liquid market for the American depositary shares (“ADSs”). As a result, the sales of our ADSs registered in this registration statement will result in two offerings by the Registrant taking place concurrently or sequentially, which could affect the price and liquidity of, and demand for, our ADSs. This risk and other risks are included in “Risk Factors” in each of the Public Offering Prospectus and the Resale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240665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D2232A"/>
        </w:rPr>
        <w:t>Dated February 7,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64770</wp:posOffset>
            </wp:positionV>
            <wp:extent cx="394335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501"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23" w:lineRule="exact"/>
        <w:rPr>
          <w:sz w:val="20"/>
          <w:szCs w:val="20"/>
          <w:color w:val="auto"/>
        </w:rPr>
      </w:pPr>
    </w:p>
    <w:p>
      <w:pPr>
        <w:sectPr>
          <w:pgSz w:w="11900" w:h="16838" w:orient="portrait"/>
          <w:cols w:equalWidth="0" w:num="3">
            <w:col w:w="3240" w:space="720"/>
            <w:col w:w="1380" w:space="720"/>
            <w:col w:w="2959"/>
          </w:cols>
          <w:pgMar w:left="1440" w:top="270" w:right="1440" w:bottom="501"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501" w:gutter="0" w:footer="0" w:header="0"/>
          <w:type w:val="continuous"/>
        </w:sectPr>
      </w:pPr>
    </w:p>
    <w:p>
      <w:pPr>
        <w:spacing w:after="0" w:line="75" w:lineRule="exact"/>
        <w:rPr>
          <w:sz w:val="20"/>
          <w:szCs w:val="20"/>
          <w:color w:val="auto"/>
        </w:rPr>
      </w:pPr>
    </w:p>
    <w:p>
      <w:pPr>
        <w:ind w:left="460" w:right="499" w:firstLine="432"/>
        <w:spacing w:after="0" w:line="222" w:lineRule="auto"/>
        <w:rPr>
          <w:sz w:val="20"/>
          <w:szCs w:val="20"/>
          <w:color w:val="auto"/>
        </w:rPr>
      </w:pPr>
      <w:r>
        <w:rPr>
          <w:rFonts w:ascii="Times New Roman" w:cs="Times New Roman" w:eastAsia="Times New Roman" w:hAnsi="Times New Roman"/>
          <w:sz w:val="13"/>
          <w:szCs w:val="13"/>
          <w:color w:val="auto"/>
        </w:rPr>
        <w:t>This is the initial public offering of American depositary shares, or ADSs, of Trident Digital Tech Holdings Ltd. We are offering 1,800,000 ADSs representing 14,400,000 Class B ordinary shares (the “Public Offering ADSs”), based on an assumed initial public offering price of US $6.00 per ADS, which is the midpoint of the range discussed below. In addition, the registration statement of which this prospectus forms a part also registers on behalf of the Selling Shareholder the resale of an aggregate of 3,125,000 ADSs representing 25,000,000 Class B ordinary shares (the “Shareholder ADSs”) by certain of our shareholders (the “Selling Shareholder”), based on an assumed initial public offering price of US$6.00 per ADS, which is the midpoint of the range discussed below. The initial public offering of the Public Offering ADSs and the offering of the Shareholder ADSs are collectively referred to herein as the offering. The offering of the Public Offering ADSs is being made on a firm commitment basis. We anticipate that the initial public offering price per ADS will be between US$5.00 and US$7.00.</w:t>
      </w:r>
    </w:p>
    <w:p>
      <w:pPr>
        <w:spacing w:after="0" w:line="28" w:lineRule="exact"/>
        <w:rPr>
          <w:sz w:val="20"/>
          <w:szCs w:val="20"/>
          <w:color w:val="auto"/>
        </w:rPr>
      </w:pPr>
    </w:p>
    <w:p>
      <w:pPr>
        <w:ind w:left="460" w:right="559" w:firstLine="432"/>
        <w:spacing w:after="0" w:line="232"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our ADSs or our Class B ordinary shares.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25" w:lineRule="exact"/>
        <w:rPr>
          <w:sz w:val="20"/>
          <w:szCs w:val="20"/>
          <w:color w:val="auto"/>
        </w:rPr>
      </w:pPr>
    </w:p>
    <w:p>
      <w:pPr>
        <w:ind w:left="460" w:right="499" w:firstLine="432"/>
        <w:spacing w:after="0" w:line="221" w:lineRule="auto"/>
        <w:rPr>
          <w:sz w:val="20"/>
          <w:szCs w:val="20"/>
          <w:color w:val="auto"/>
        </w:rPr>
      </w:pPr>
      <w:r>
        <w:rPr>
          <w:rFonts w:ascii="Times New Roman" w:cs="Times New Roman" w:eastAsia="Times New Roman" w:hAnsi="Times New Roman"/>
          <w:sz w:val="13"/>
          <w:szCs w:val="13"/>
          <w:color w:val="auto"/>
        </w:rPr>
        <w:t>The Shareholder ADSs being offered by the Selling Shareholder are part of and conditioned on the closing of the offering of the Public Offering ADSs. The sales price to the public of the Public Offering ADSs and the Shareholder ADSs will be fixed at the initial public offering price per Public Offering ADS until such time as our ADSs are listed on the Nasdaq Capital Market; thereafter, the Shareholder ADSs may be sold at prevailing market prices, prices related to prevailing market prices or at privately negotiated prices. We will not receive any proceeds from the sale of any of the Shareholder ADSs sold by the Selling Shareholder. The offering of the Shareholder ADSs by the Selling Shareholder will terminate at the earlier of such time as all of the Shareholder ADSs have been sold pursuant to the registration statement and the date on which it is no longer necessary to maintain the registration of the Shareholder ADSs as a result of such ADSs being permitted to be offered and resold without restriction pursuant to the provisions of Rule 144 of the Securities Act of 1933, as amended (the “Securities Act”), and the offering of the Shareholder ADSs may extend for a longer period of time than the offering of the Public Offering ADSs. The Shareholder ADSs will be resold from time to time by the Selling Shareholder.</w:t>
      </w:r>
    </w:p>
    <w:p>
      <w:pPr>
        <w:spacing w:after="0" w:line="30" w:lineRule="exact"/>
        <w:rPr>
          <w:sz w:val="20"/>
          <w:szCs w:val="20"/>
          <w:color w:val="auto"/>
        </w:rPr>
      </w:pPr>
    </w:p>
    <w:p>
      <w:pPr>
        <w:ind w:left="460" w:right="519" w:firstLine="432"/>
        <w:spacing w:after="0" w:line="220" w:lineRule="auto"/>
        <w:rPr>
          <w:sz w:val="20"/>
          <w:szCs w:val="20"/>
          <w:color w:val="auto"/>
        </w:rPr>
      </w:pPr>
      <w:r>
        <w:rPr>
          <w:rFonts w:ascii="Times New Roman" w:cs="Times New Roman" w:eastAsia="Times New Roman" w:hAnsi="Times New Roman"/>
          <w:sz w:val="13"/>
          <w:szCs w:val="13"/>
          <w:color w:val="auto"/>
        </w:rPr>
        <w:t>Following the completion of this offering,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41" w:lineRule="exact"/>
        <w:rPr>
          <w:sz w:val="20"/>
          <w:szCs w:val="20"/>
          <w:color w:val="auto"/>
        </w:rPr>
      </w:pPr>
    </w:p>
    <w:p>
      <w:pPr>
        <w:ind w:left="460" w:right="1119" w:firstLine="432"/>
        <w:spacing w:after="0"/>
        <w:rPr>
          <w:sz w:val="20"/>
          <w:szCs w:val="20"/>
          <w:color w:val="auto"/>
        </w:rPr>
      </w:pPr>
      <w:r>
        <w:rPr>
          <w:rFonts w:ascii="Times New Roman" w:cs="Times New Roman" w:eastAsia="Times New Roman" w:hAnsi="Times New Roman"/>
          <w:sz w:val="13"/>
          <w:szCs w:val="13"/>
          <w:color w:val="auto"/>
        </w:rPr>
        <w:t>We are an “emerging growth company” under applicable U.S. federal securities laws and are eligible for reduced public company reporting requirements.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11.</w:t>
            </w:r>
          </w:p>
        </w:tc>
        <w:tc>
          <w:tcPr>
            <w:tcW w:w="1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41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PRICE US$</w:t>
            </w:r>
          </w:p>
        </w:tc>
        <w:tc>
          <w:tcPr>
            <w:tcW w:w="2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PER ADS</w:t>
            </w:r>
          </w:p>
        </w:tc>
        <w:tc>
          <w:tcPr>
            <w:tcW w:w="1140" w:type="dxa"/>
            <w:vAlign w:val="bottom"/>
          </w:tcPr>
          <w:p>
            <w:pPr>
              <w:spacing w:after="0"/>
              <w:rPr>
                <w:sz w:val="24"/>
                <w:szCs w:val="24"/>
                <w:color w:val="auto"/>
              </w:rPr>
            </w:pPr>
          </w:p>
        </w:tc>
      </w:tr>
      <w:tr>
        <w:trPr>
          <w:trHeight w:val="297"/>
        </w:trPr>
        <w:tc>
          <w:tcPr>
            <w:tcW w:w="696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r>
      <w:tr>
        <w:trPr>
          <w:trHeight w:val="435"/>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1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public offering price of the Public Offering ADSs</w:t>
            </w:r>
          </w:p>
        </w:tc>
        <w:tc>
          <w:tcPr>
            <w:tcW w:w="5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r>
      <w:tr>
        <w:trPr>
          <w:trHeight w:val="284"/>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232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US$</w:t>
            </w:r>
          </w:p>
        </w:tc>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US$</w:t>
            </w:r>
          </w:p>
        </w:tc>
      </w:tr>
      <w:tr>
        <w:trPr>
          <w:trHeight w:val="263"/>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78"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additional disclosure regarding underwriting compensation payable by us.</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We expect our total cash expenses for this offering of the Public Offering ADSs (including cash expenses payable to our underwriter for its out-of-</w:t>
      </w:r>
    </w:p>
    <w:p>
      <w:pPr>
        <w:ind w:left="460" w:right="759"/>
        <w:spacing w:after="0" w:line="224" w:lineRule="auto"/>
        <w:rPr>
          <w:sz w:val="20"/>
          <w:szCs w:val="20"/>
          <w:color w:val="auto"/>
        </w:rPr>
      </w:pPr>
      <w:r>
        <w:rPr>
          <w:rFonts w:ascii="Times New Roman" w:cs="Times New Roman" w:eastAsia="Times New Roman" w:hAnsi="Times New Roman"/>
          <w:sz w:val="13"/>
          <w:szCs w:val="13"/>
          <w:color w:val="auto"/>
        </w:rPr>
        <w:t>pocket 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51" w:lineRule="exact"/>
        <w:rPr>
          <w:sz w:val="20"/>
          <w:szCs w:val="20"/>
          <w:color w:val="auto"/>
        </w:rPr>
      </w:pPr>
    </w:p>
    <w:p>
      <w:pPr>
        <w:ind w:left="460" w:right="499" w:firstLine="432"/>
        <w:spacing w:after="0" w:line="243" w:lineRule="auto"/>
        <w:rPr>
          <w:sz w:val="20"/>
          <w:szCs w:val="20"/>
          <w:color w:val="auto"/>
        </w:rPr>
      </w:pPr>
      <w:r>
        <w:rPr>
          <w:rFonts w:ascii="Times New Roman" w:cs="Times New Roman" w:eastAsia="Times New Roman" w:hAnsi="Times New Roman"/>
          <w:sz w:val="13"/>
          <w:szCs w:val="13"/>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64" w:lineRule="exact"/>
        <w:rPr>
          <w:sz w:val="20"/>
          <w:szCs w:val="20"/>
          <w:color w:val="auto"/>
        </w:rPr>
      </w:pPr>
    </w:p>
    <w:tbl>
      <w:tblPr>
        <w:tblLayout w:type="fixed"/>
        <w:tblInd w:w="880" w:type="dxa"/>
        <w:tblCellMar>
          <w:top w:w="0" w:type="dxa"/>
          <w:left w:w="0" w:type="dxa"/>
          <w:bottom w:w="0" w:type="dxa"/>
          <w:right w:w="0" w:type="dxa"/>
        </w:tblCellMar>
      </w:tblPr>
      <w:tr>
        <w:trPr>
          <w:trHeight w:val="164"/>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w w:val="99"/>
              </w:rPr>
              <w:t>The underwriter expects to deliver the Public Offering ADSs against payment in U.S. dollars to purchasers on or about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52705</wp:posOffset>
            </wp:positionV>
            <wp:extent cx="132016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392"/>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501"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6" w:lineRule="auto"/>
        <w:rPr>
          <w:sz w:val="20"/>
          <w:szCs w:val="20"/>
          <w:color w:val="auto"/>
        </w:rPr>
      </w:pPr>
      <w:r>
        <w:rPr>
          <w:rFonts w:ascii="Times New Roman" w:cs="Times New Roman" w:eastAsia="Times New Roman" w:hAnsi="Times New Roman"/>
          <w:sz w:val="18"/>
          <w:szCs w:val="18"/>
          <w:color w:val="auto"/>
        </w:rPr>
        <w:t>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8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8" w:lineRule="exact"/>
        <w:rPr>
          <w:rFonts w:ascii="Times New Roman" w:cs="Times New Roman" w:eastAsia="Times New Roman" w:hAnsi="Times New Roman"/>
          <w:sz w:val="18"/>
          <w:szCs w:val="18"/>
          <w:color w:val="auto"/>
        </w:rPr>
      </w:pPr>
    </w:p>
    <w:p>
      <w:pPr>
        <w:ind w:left="1400" w:right="6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8"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80"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94"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80"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2"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94"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62" w:lineRule="exact"/>
        <w:rPr>
          <w:sz w:val="20"/>
          <w:szCs w:val="20"/>
          <w:color w:val="auto"/>
        </w:rPr>
      </w:pPr>
    </w:p>
    <w:p>
      <w:pPr>
        <w:jc w:val="both"/>
        <w:ind w:left="1400" w:right="6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48" w:lineRule="exact"/>
        <w:rPr>
          <w:sz w:val="20"/>
          <w:szCs w:val="20"/>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94"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71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108"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99"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16"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48" w:lineRule="exact"/>
        <w:rPr>
          <w:sz w:val="20"/>
          <w:szCs w:val="20"/>
          <w:color w:val="auto"/>
        </w:rPr>
      </w:pPr>
    </w:p>
    <w:p>
      <w:pPr>
        <w:ind w:left="540" w:right="799" w:firstLine="432"/>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99"/>
        <w:spacing w:after="0" w:line="256" w:lineRule="auto"/>
        <w:rPr>
          <w:sz w:val="20"/>
          <w:szCs w:val="20"/>
          <w:color w:val="auto"/>
        </w:rPr>
      </w:pPr>
      <w:r>
        <w:rPr>
          <w:rFonts w:ascii="Times New Roman" w:cs="Times New Roman" w:eastAsia="Times New Roman" w:hAnsi="Times New Roman"/>
          <w:sz w:val="18"/>
          <w:szCs w:val="18"/>
          <w:color w:val="auto"/>
        </w:rPr>
        <w:t>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0"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8813 1312.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153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715327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112"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57"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81"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70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67092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351"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3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We expect that the initial public offering price will be between US$5.00 and US$7.00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200" w:lineRule="exact"/>
        <w:rPr>
          <w:sz w:val="20"/>
          <w:szCs w:val="20"/>
          <w:color w:val="auto"/>
        </w:rPr>
      </w:pPr>
    </w:p>
    <w:p>
      <w:pPr>
        <w:spacing w:after="0" w:line="214" w:lineRule="exact"/>
        <w:rPr>
          <w:sz w:val="20"/>
          <w:szCs w:val="20"/>
          <w:color w:val="auto"/>
        </w:rPr>
      </w:pPr>
    </w:p>
    <w:p>
      <w:pPr>
        <w:ind w:right="1319"/>
        <w:spacing w:after="0" w:line="282"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w:t>
      </w:r>
    </w:p>
    <w:p>
      <w:pPr>
        <w:spacing w:after="0" w:line="351"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w:t>
      </w:r>
    </w:p>
    <w:p>
      <w:pPr>
        <w:spacing w:after="0" w:line="135"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99"/>
        <w:spacing w:after="0" w:line="273" w:lineRule="auto"/>
        <w:rPr>
          <w:sz w:val="20"/>
          <w:szCs w:val="20"/>
          <w:color w:val="auto"/>
        </w:rPr>
      </w:pPr>
      <w:r>
        <w:rPr>
          <w:rFonts w:ascii="Times New Roman" w:cs="Times New Roman" w:eastAsia="Times New Roman" w:hAnsi="Times New Roman"/>
          <w:sz w:val="17"/>
          <w:szCs w:val="17"/>
          <w:color w:val="auto"/>
        </w:rPr>
        <w:t>We estimate that we will receive net proceeds of approximately US$10.80 million from this offering of the Public Offering ADSs, after deducting the underwriting discounts, commissions, and estimated offering expenses payable by us and assuming an initial public offering price of US$6.00 per ADS, being the mid-point of the estimated range of the initial public offering price shown on the front cover of this prospectus.</w:t>
      </w:r>
    </w:p>
    <w:p>
      <w:pPr>
        <w:spacing w:after="0" w:line="104"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See “Use of Proceeds” for additional information.</w:t>
      </w:r>
    </w:p>
    <w:p>
      <w:pPr>
        <w:spacing w:after="0" w:line="147"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We, our directors and executive officers, and shareholders holding 5% or more of our ordinary shares are expected to enter into lock-up agreements with the Underwriter not to sell, transfer, or dispose of any Class B ordinary shares for a period of up to six months after this offering is completed. See “Underwriting” for more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365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3656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919"/>
        <w:spacing w:after="0" w:line="266"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 the risks you should carefully consider before investing in the ADSs.</w:t>
      </w:r>
    </w:p>
    <w:p>
      <w:pPr>
        <w:spacing w:after="0" w:line="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ind w:right="919"/>
        <w:spacing w:after="0" w:line="281" w:lineRule="auto"/>
        <w:rPr>
          <w:sz w:val="20"/>
          <w:szCs w:val="20"/>
          <w:color w:val="auto"/>
        </w:rPr>
      </w:pPr>
      <w:r>
        <w:rPr>
          <w:rFonts w:ascii="Times New Roman" w:cs="Times New Roman" w:eastAsia="Times New Roman" w:hAnsi="Times New Roman"/>
          <w:sz w:val="17"/>
          <w:szCs w:val="17"/>
          <w:color w:val="auto"/>
        </w:rPr>
        <w:t>We intend to apply to have the ADSs listed on the Nasdaq Capital Market under the symbol “TDTH.” Our ADSs and Class B ordinary shares will not be listed on any other stock exchanges or traded on any automated quotation system.</w:t>
      </w:r>
    </w:p>
    <w:p>
      <w:pPr>
        <w:spacing w:after="0" w:line="124"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Payment and Settlement</w:t>
      </w:r>
    </w:p>
    <w:p>
      <w:pPr>
        <w:spacing w:after="0" w:line="20" w:lineRule="exact"/>
        <w:rPr>
          <w:sz w:val="20"/>
          <w:szCs w:val="20"/>
          <w:color w:val="auto"/>
        </w:rPr>
      </w:pPr>
      <w:r>
        <w:rPr>
          <w:sz w:val="20"/>
          <w:szCs w:val="20"/>
          <w:color w:val="auto"/>
        </w:rPr>
        <w:br w:type="column"/>
      </w:r>
    </w:p>
    <w:p>
      <w:pPr>
        <w:ind w:right="559"/>
        <w:spacing w:after="0" w:line="266" w:lineRule="auto"/>
        <w:rPr>
          <w:sz w:val="20"/>
          <w:szCs w:val="20"/>
          <w:color w:val="auto"/>
        </w:rPr>
      </w:pPr>
      <w:r>
        <w:rPr>
          <w:rFonts w:ascii="Times New Roman" w:cs="Times New Roman" w:eastAsia="Times New Roman" w:hAnsi="Times New Roman"/>
          <w:sz w:val="18"/>
          <w:szCs w:val="18"/>
          <w:color w:val="auto"/>
        </w:rPr>
        <w:t>The Public Offering ADSs are expected to be delivered against payment on , 2024. They will be registered in the name of a nominee of The Depository Trust Company, or DTC.</w:t>
      </w:r>
    </w:p>
    <w:p>
      <w:pPr>
        <w:spacing w:after="0" w:line="149"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21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number of ordinary shares that will be issued and outstanding immediately after this offering:</w:t>
      </w:r>
    </w:p>
    <w:p>
      <w:pPr>
        <w:spacing w:after="0" w:line="169" w:lineRule="exact"/>
        <w:rPr>
          <w:sz w:val="20"/>
          <w:szCs w:val="20"/>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76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(156,703)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2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 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410,205,000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739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739130"/>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84"/>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17"/>
                <w:szCs w:val="17"/>
                <w:color w:val="auto"/>
              </w:rPr>
            </w:pP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14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220" w:hanging="218"/>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(609,946)  $  244,100   $ (2,380,926)  $   (27,514)</w:t>
      </w:r>
    </w:p>
    <w:p>
      <w:pPr>
        <w:spacing w:after="0" w:line="76"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66,030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60" w:type="dxa"/>
            <w:vAlign w:val="bottom"/>
          </w:tcPr>
          <w:p>
            <w:pPr>
              <w:spacing w:after="0"/>
              <w:rPr>
                <w:sz w:val="19"/>
                <w:szCs w:val="19"/>
                <w:color w:val="auto"/>
              </w:rPr>
            </w:pPr>
          </w:p>
        </w:tc>
      </w:tr>
      <w:tr>
        <w:trPr>
          <w:trHeight w:val="279"/>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671,672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255,956</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945,265</w:t>
            </w:r>
          </w:p>
        </w:tc>
        <w:tc>
          <w:tcPr>
            <w:tcW w:w="10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jc w:val="both"/>
        <w:ind w:left="460" w:right="519" w:firstLine="432"/>
        <w:spacing w:after="0" w:line="272" w:lineRule="auto"/>
        <w:rPr>
          <w:sz w:val="20"/>
          <w:szCs w:val="20"/>
          <w:color w:val="auto"/>
        </w:rPr>
      </w:pPr>
      <w:r>
        <w:rPr>
          <w:rFonts w:ascii="Times New Roman" w:cs="Times New Roman" w:eastAsia="Times New Roman" w:hAnsi="Times New Roman"/>
          <w:sz w:val="17"/>
          <w:szCs w:val="17"/>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Times New Roman" w:cs="Times New Roman" w:eastAsia="Times New Roman" w:hAnsi="Times New Roman"/>
          <w:sz w:val="18"/>
          <w:szCs w:val="18"/>
          <w:color w:val="auto"/>
        </w:rPr>
        <w:t>We expect to continue to incur losses for the foreseeable future as we expend substantial financial and other resources on, among other things:</w:t>
      </w:r>
    </w:p>
    <w:p>
      <w:pPr>
        <w:spacing w:after="0" w:line="11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107"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02" w:lineRule="exact"/>
        <w:rPr>
          <w:sz w:val="20"/>
          <w:szCs w:val="20"/>
          <w:color w:val="auto"/>
        </w:rPr>
      </w:pPr>
    </w:p>
    <w:p>
      <w:pPr>
        <w:ind w:left="1320" w:right="579" w:hanging="434"/>
        <w:spacing w:after="0" w:line="258"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4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7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June 30,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124"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8" w:lineRule="auto"/>
        <w:rPr>
          <w:sz w:val="20"/>
          <w:szCs w:val="20"/>
          <w:color w:val="auto"/>
        </w:rPr>
      </w:pPr>
      <w:r>
        <w:rPr>
          <w:rFonts w:ascii="Times New Roman" w:cs="Times New Roman" w:eastAsia="Times New Roman" w:hAnsi="Times New Roman"/>
          <w:sz w:val="18"/>
          <w:szCs w:val="18"/>
          <w:color w:val="auto"/>
        </w:rPr>
        <w:t>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16"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spacing w:after="0" w:line="266" w:lineRule="auto"/>
        <w:rPr>
          <w:sz w:val="20"/>
          <w:szCs w:val="20"/>
          <w:color w:val="auto"/>
        </w:rPr>
      </w:pPr>
      <w:r>
        <w:rPr>
          <w:rFonts w:ascii="Times New Roman" w:cs="Times New Roman" w:eastAsia="Times New Roman" w:hAnsi="Times New Roman"/>
          <w:sz w:val="18"/>
          <w:szCs w:val="18"/>
          <w:color w:val="auto"/>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based on an assumed initial public offering price of US$6.00 per ADS, which is the midpoint of the estimated range of the initial public offering price shown on the front cover of this prospectus.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estimate that the aggregate net proceeds to us from this offering of approximately US$10.80 million of the Public Offering ADSs, after deducting underwriting discounts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spacing w:after="0" w:line="12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112" w:lineRule="exact"/>
        <w:rPr>
          <w:sz w:val="20"/>
          <w:szCs w:val="20"/>
          <w:color w:val="auto"/>
        </w:rPr>
      </w:pPr>
    </w:p>
    <w:p>
      <w:pPr>
        <w:ind w:left="1320" w:right="7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10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1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2023:</w:t>
      </w:r>
    </w:p>
    <w:p>
      <w:pPr>
        <w:spacing w:after="0" w:line="104"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48" w:lineRule="exact"/>
        <w:rPr>
          <w:rFonts w:ascii="Times New Roman" w:cs="Times New Roman" w:eastAsia="Times New Roman" w:hAnsi="Times New Roman"/>
          <w:sz w:val="18"/>
          <w:szCs w:val="18"/>
          <w:color w:val="auto"/>
        </w:rPr>
      </w:pPr>
    </w:p>
    <w:p>
      <w:pPr>
        <w:ind w:left="1320" w:right="559" w:hanging="434"/>
        <w:spacing w:after="0" w:line="258"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spacing w:after="0" w:line="62"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Actual</w:t>
            </w:r>
          </w:p>
        </w:tc>
        <w:tc>
          <w:tcPr>
            <w:tcW w:w="10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55"/>
        </w:trPr>
        <w:tc>
          <w:tcPr>
            <w:tcW w:w="4940" w:type="dxa"/>
            <w:vAlign w:val="bottom"/>
          </w:tcPr>
          <w:p>
            <w:pPr>
              <w:spacing w:after="0"/>
              <w:rPr>
                <w:sz w:val="22"/>
                <w:szCs w:val="22"/>
                <w:color w:val="auto"/>
              </w:rPr>
            </w:pPr>
          </w:p>
        </w:tc>
        <w:tc>
          <w:tcPr>
            <w:tcW w:w="8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22"/>
                <w:szCs w:val="22"/>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As Adjusted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US$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US$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40,197</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7,590,421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561,998</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US$0.00001 per share;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June 30, 2023 and December 31, 2022,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360,205,000 and 360,205,000 Class B ordinary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4,102</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32,240</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8,631,312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16,592,097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(3,259,598)</w:t>
            </w:r>
          </w:p>
        </w:tc>
        <w:tc>
          <w:tcPr>
            <w:tcW w:w="1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(3,259,598)</w:t>
            </w:r>
          </w:p>
        </w:tc>
        <w:tc>
          <w:tcPr>
            <w:tcW w:w="0" w:type="dxa"/>
            <w:vAlign w:val="bottom"/>
          </w:tcPr>
          <w:p>
            <w:pPr>
              <w:spacing w:after="0"/>
              <w:rPr>
                <w:sz w:val="1"/>
                <w:szCs w:val="1"/>
                <w:color w:val="auto"/>
              </w:rPr>
            </w:pPr>
          </w:p>
        </w:tc>
      </w:tr>
      <w:tr>
        <w:trPr>
          <w:trHeight w:val="257"/>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87,496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(3,226,191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5,464,230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13,425,159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8,966,857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16,927,786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89,795,000 shares of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of 1,964,286 shares of Class B ordinary shares on October 3, 2023 for the consideration of US$1,100,000.</w:t>
      </w:r>
    </w:p>
    <w:p>
      <w:pPr>
        <w:ind w:left="880" w:right="499" w:hanging="426"/>
        <w:spacing w:after="0" w:line="26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Our actual net tangible book value as of June 30, 2023 was approximately US$3.23 million in deficit, or US$0.01 per ordinary share in deficit and US$0.05 per ADS in deficit, respectively as of such date. Our actual as adjusted net tangible book value as of June 30, 2023 was approximately US$5.46 million, or US$0.01 per ordinary share and US$0.09 per ADS, respectively as of such date. Such actual as adjusted net tangible book value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3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June 30,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June 30,</w:t>
      </w:r>
    </w:p>
    <w:p>
      <w:pPr>
        <w:spacing w:after="0" w:line="3"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2023 would have been US$12.99 million, or US$0.03 per ordinary share and US$0.20 per ADS. This represents an immediate increase in actual as adjusted net tangible book value of US$0.02 per ordinary share and US$0.11 per ADS to the existing shareholders and an immediate dilution in actual as adjusted net tangible book value of US$0.72 per ordinary share and US$5.80 per ADS to investors purchasing ADSs in this offering. The following table illustrates such dilution:</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 ordinary</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 ADS</w:t>
            </w:r>
          </w:p>
        </w:tc>
      </w:tr>
      <w:tr>
        <w:trPr>
          <w:trHeight w:val="47"/>
        </w:trPr>
        <w:tc>
          <w:tcPr>
            <w:tcW w:w="54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(deficit) as of June 30, 2023</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as adjusted net tangible book value as of June 30, 2023</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0.20</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 new</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r>
      <w:tr>
        <w:trPr>
          <w:trHeight w:val="40"/>
        </w:trPr>
        <w:tc>
          <w:tcPr>
            <w:tcW w:w="5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89,795,000 Class B ordinary shares on July 4, 2023 for the consideration of</w:t>
      </w:r>
    </w:p>
    <w:p>
      <w:pPr>
        <w:spacing w:after="0" w:line="26" w:lineRule="exact"/>
        <w:rPr>
          <w:rFonts w:ascii="Times New Roman" w:cs="Times New Roman" w:eastAsia="Times New Roman" w:hAnsi="Times New Roman"/>
          <w:sz w:val="16"/>
          <w:szCs w:val="16"/>
          <w:color w:val="auto"/>
        </w:rPr>
      </w:pPr>
    </w:p>
    <w:p>
      <w:pPr>
        <w:ind w:left="880" w:right="739"/>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US$6.00 per ADS would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 (decrease) the pro forma as adjusted net tangible book value after giving effect to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US$1.80 million, the pro forma as adjusted net tangible book value per ordinary share and per ADS after giving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to this offering by US$0.003 per ordinary share and US$0.03 per ADS, and the dilution in the pro forma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and per ADS to new investors in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US$0.72 per ordinary share and US$5.77 per ADS, assuming no change to the number of ADSs offered by 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on the front cover of this prospectus, and after deducting underwriting discounts and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Ordinary Shares Purchased</w:t>
            </w: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80" w:type="dxa"/>
            <w:vAlign w:val="bottom"/>
          </w:tcPr>
          <w:p>
            <w:pPr>
              <w:spacing w:after="0"/>
              <w:rPr>
                <w:sz w:val="10"/>
                <w:szCs w:val="10"/>
                <w:color w:val="auto"/>
              </w:rPr>
            </w:pPr>
          </w:p>
        </w:tc>
        <w:tc>
          <w:tcPr>
            <w:tcW w:w="92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19,403,742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54" w:lineRule="exact"/>
        <w:rPr>
          <w:sz w:val="20"/>
          <w:szCs w:val="20"/>
          <w:color w:val="auto"/>
        </w:rPr>
      </w:pPr>
    </w:p>
    <w:p>
      <w:pPr>
        <w:ind w:left="640" w:right="440" w:hanging="179"/>
        <w:spacing w:after="0" w:line="282" w:lineRule="auto"/>
        <w:rPr>
          <w:sz w:val="20"/>
          <w:szCs w:val="20"/>
          <w:color w:val="auto"/>
        </w:rPr>
      </w:pPr>
      <w:r>
        <w:rPr>
          <w:rFonts w:ascii="Times New Roman" w:cs="Times New Roman" w:eastAsia="Times New Roman" w:hAnsi="Times New Roman"/>
          <w:sz w:val="18"/>
          <w:szCs w:val="18"/>
          <w:color w:val="auto"/>
        </w:rPr>
        <w:t>(Loss)/Income before income tax expense</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54" w:lineRule="exact"/>
        <w:rPr>
          <w:sz w:val="20"/>
          <w:szCs w:val="20"/>
          <w:color w:val="auto"/>
        </w:rPr>
      </w:pPr>
    </w:p>
    <w:p>
      <w:pPr>
        <w:ind w:left="820" w:right="600" w:hanging="179"/>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54" w:lineRule="exact"/>
        <w:rPr>
          <w:sz w:val="20"/>
          <w:szCs w:val="20"/>
          <w:color w:val="auto"/>
        </w:rPr>
      </w:pPr>
    </w:p>
    <w:p>
      <w:pPr>
        <w:ind w:left="640" w:right="60" w:hanging="179"/>
        <w:spacing w:after="0" w:line="273" w:lineRule="auto"/>
        <w:rPr>
          <w:sz w:val="20"/>
          <w:szCs w:val="20"/>
          <w:color w:val="auto"/>
        </w:rPr>
      </w:pPr>
      <w:r>
        <w:rPr>
          <w:rFonts w:ascii="Times New Roman" w:cs="Times New Roman" w:eastAsia="Times New Roman" w:hAnsi="Times New Roman"/>
          <w:sz w:val="18"/>
          <w:szCs w:val="18"/>
          <w:color w:val="auto"/>
        </w:rPr>
        <w:t>Weighted average number of Ordinary Shares – basic and diluted</w:t>
      </w:r>
    </w:p>
    <w:p>
      <w:pPr>
        <w:spacing w:after="0" w:line="2" w:lineRule="exact"/>
        <w:rPr>
          <w:sz w:val="20"/>
          <w:szCs w:val="20"/>
          <w:color w:val="auto"/>
        </w:rPr>
      </w:pPr>
    </w:p>
    <w:p>
      <w:pPr>
        <w:ind w:left="640" w:hanging="179"/>
        <w:spacing w:after="0" w:line="282" w:lineRule="auto"/>
        <w:rPr>
          <w:sz w:val="20"/>
          <w:szCs w:val="20"/>
          <w:color w:val="auto"/>
        </w:rPr>
      </w:pPr>
      <w:r>
        <w:rPr>
          <w:rFonts w:ascii="Times New Roman" w:cs="Times New Roman" w:eastAsia="Times New Roman" w:hAnsi="Times New Roman"/>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(71,530)</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280" w:space="240"/>
            <w:col w:w="549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line="196" w:lineRule="exact"/>
              <w:rPr>
                <w:sz w:val="20"/>
                <w:szCs w:val="20"/>
                <w:color w:val="auto"/>
              </w:rPr>
            </w:pPr>
            <w:r>
              <w:rPr>
                <w:rFonts w:ascii="Times New Roman" w:cs="Times New Roman" w:eastAsia="Times New Roman" w:hAnsi="Times New Roman"/>
                <w:sz w:val="18"/>
                <w:szCs w:val="18"/>
                <w:b w:val="1"/>
                <w:bCs w:val="1"/>
                <w:color w:val="auto"/>
              </w:rPr>
              <w:t>3,003,972</w:t>
            </w:r>
          </w:p>
        </w:tc>
        <w:tc>
          <w:tcPr>
            <w:tcW w:w="34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506,451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(27,514)</w:t>
            </w:r>
          </w:p>
        </w:tc>
      </w:tr>
      <w:tr>
        <w:trPr>
          <w:trHeight w:val="2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32,401</w:t>
            </w:r>
          </w:p>
        </w:tc>
        <w:tc>
          <w:tcPr>
            <w:tcW w:w="140" w:type="dxa"/>
            <w:vAlign w:val="bottom"/>
          </w:tcPr>
          <w:p>
            <w:pPr>
              <w:spacing w:after="0"/>
              <w:rPr>
                <w:sz w:val="19"/>
                <w:szCs w:val="19"/>
                <w:color w:val="auto"/>
              </w:rPr>
            </w:pPr>
          </w:p>
        </w:tc>
      </w:tr>
      <w:tr>
        <w:trPr>
          <w:trHeight w:val="36"/>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(113,439)</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launched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8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2023 Compared to Six months ended June 30, 2022</w:t>
      </w:r>
    </w:p>
    <w:p>
      <w:pPr>
        <w:spacing w:after="0" w:line="16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six months ended June 30,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739.77%</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1,087.86%</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(1,704,709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w:t>
            </w:r>
            <w:r>
              <w:rPr>
                <w:rFonts w:ascii="Times New Roman" w:cs="Times New Roman" w:eastAsia="Times New Roman" w:hAnsi="Times New Roman"/>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r>
              <w:rPr>
                <w:rFonts w:ascii="Times New Roman" w:cs="Times New Roman" w:eastAsia="Times New Roman" w:hAnsi="Times New Roman"/>
                <w:sz w:val="18"/>
                <w:szCs w:val="18"/>
                <w:color w:val="auto"/>
              </w:rPr>
              <w:t>%</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US$192,513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5"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US$282,610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six months ended June 30,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116,761</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4"/>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slightly increased by 2.82%, from US$378,896 for the six months ended June 30, 2022 to US$389,569 for the six months ended June 30, 2023.</w:t>
      </w:r>
    </w:p>
    <w:p>
      <w:pPr>
        <w:spacing w:after="0" w:line="92" w:lineRule="exact"/>
        <w:rPr>
          <w:sz w:val="20"/>
          <w:szCs w:val="20"/>
          <w:color w:val="auto"/>
        </w:rPr>
      </w:pPr>
    </w:p>
    <w:p>
      <w:pPr>
        <w:jc w:val="center"/>
        <w:ind w:right="179"/>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Service fees.</w:t>
      </w:r>
      <w:r>
        <w:rPr>
          <w:sz w:val="20"/>
          <w:szCs w:val="20"/>
          <w:color w:val="auto"/>
        </w:rPr>
        <w:tab/>
      </w:r>
      <w:r>
        <w:rPr>
          <w:rFonts w:ascii="Times New Roman" w:cs="Times New Roman" w:eastAsia="Times New Roman" w:hAnsi="Times New Roman"/>
          <w:sz w:val="17"/>
          <w:szCs w:val="17"/>
          <w:color w:val="auto"/>
        </w:rPr>
        <w:t>Service fees increased from US$235,583 for the six months ended June 30, 2022 to</w:t>
      </w:r>
    </w:p>
    <w:p>
      <w:pPr>
        <w:spacing w:after="0" w:line="29" w:lineRule="exact"/>
        <w:rPr>
          <w:sz w:val="20"/>
          <w:szCs w:val="20"/>
          <w:color w:val="auto"/>
        </w:rPr>
      </w:pPr>
    </w:p>
    <w:p>
      <w:pPr>
        <w:ind w:left="460" w:right="639"/>
        <w:spacing w:after="0" w:line="253" w:lineRule="auto"/>
        <w:rPr>
          <w:sz w:val="20"/>
          <w:szCs w:val="20"/>
          <w:color w:val="auto"/>
        </w:rPr>
      </w:pPr>
      <w:r>
        <w:rPr>
          <w:rFonts w:ascii="Times New Roman" w:cs="Times New Roman" w:eastAsia="Times New Roman" w:hAnsi="Times New Roman"/>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19" w:lineRule="exact"/>
        <w:rPr>
          <w:sz w:val="20"/>
          <w:szCs w:val="20"/>
          <w:color w:val="auto"/>
        </w:rPr>
      </w:pPr>
    </w:p>
    <w:p>
      <w:pPr>
        <w:ind w:left="460" w:right="5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US$116,761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US$122,142 for the six months ended June 30, 2023, primarily related to increases in base salaries and bonuses to our staff since second half of 2022.</w:t>
      </w:r>
    </w:p>
    <w:p>
      <w:pPr>
        <w:spacing w:after="0" w:line="92"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Miscellaneous costs.</w:t>
      </w:r>
      <w:r>
        <w:rPr>
          <w:sz w:val="20"/>
          <w:szCs w:val="20"/>
          <w:color w:val="auto"/>
        </w:rPr>
        <w:tab/>
      </w:r>
      <w:r>
        <w:rPr>
          <w:rFonts w:ascii="Times New Roman" w:cs="Times New Roman" w:eastAsia="Times New Roman" w:hAnsi="Times New Roman"/>
          <w:sz w:val="17"/>
          <w:szCs w:val="17"/>
          <w:color w:val="auto"/>
        </w:rPr>
        <w:t>Miscellaneous cost decreased from US$26,552 for the six months ended June 30,</w:t>
      </w:r>
    </w:p>
    <w:p>
      <w:pPr>
        <w:spacing w:after="0" w:line="29" w:lineRule="exact"/>
        <w:rPr>
          <w:sz w:val="20"/>
          <w:szCs w:val="20"/>
          <w:color w:val="auto"/>
        </w:rPr>
      </w:pPr>
    </w:p>
    <w:p>
      <w:pPr>
        <w:jc w:val="both"/>
        <w:ind w:left="460" w:right="739"/>
        <w:spacing w:after="0" w:line="255" w:lineRule="auto"/>
        <w:rPr>
          <w:sz w:val="20"/>
          <w:szCs w:val="20"/>
          <w:color w:val="auto"/>
        </w:rPr>
      </w:pPr>
      <w:r>
        <w:rPr>
          <w:rFonts w:ascii="Times New Roman" w:cs="Times New Roman" w:eastAsia="Times New Roman" w:hAnsi="Times New Roman"/>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659" w:firstLine="432"/>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referral commission, and (iii) interest expenses.</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US$70,300 for the six months ended June 30, 2022 to US$44,900 for the six months ended June 30, 2023, primarily due to the decrease of government subsidies.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2022 and 2021, respectively.</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of change</w:t>
            </w:r>
          </w:p>
        </w:tc>
        <w:tc>
          <w:tcPr>
            <w:tcW w:w="0" w:type="dxa"/>
            <w:vAlign w:val="bottom"/>
          </w:tcPr>
          <w:p>
            <w:pPr>
              <w:spacing w:after="0"/>
              <w:rPr>
                <w:sz w:val="1"/>
                <w:szCs w:val="1"/>
                <w:color w:val="auto"/>
              </w:rPr>
            </w:pPr>
          </w:p>
        </w:tc>
      </w:tr>
      <w:tr>
        <w:trPr>
          <w:trHeight w:val="47"/>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1189.19%</w:t>
            </w: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(1,159,456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2022 and 2021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110"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increased from US$260,455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US$396,637 in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2022 and 2021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6"/>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205.99%</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199,749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US$456,645 in 2021 to US$1,000,689 in 2022, representing a year-on-year increase of 119.14%.</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US$232,290 in 2021 to US$710,793 in 2022,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2022.</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US$199,749 in 2021 to US$239,296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increases in base salaries and bonuses to our staff in 2022.</w:t>
      </w:r>
    </w:p>
    <w:p>
      <w:pPr>
        <w:spacing w:after="0" w:line="91"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increased from US$5,693 in 2021 to US$10,082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incremental commission costs needed to obtain new sales contracts related to our newly engaged business line in providing management software solutions in 2022.</w:t>
      </w:r>
    </w:p>
    <w:p>
      <w:pPr>
        <w:spacing w:after="0" w:line="106" w:lineRule="exact"/>
        <w:rPr>
          <w:sz w:val="20"/>
          <w:szCs w:val="20"/>
          <w:color w:val="auto"/>
        </w:rPr>
      </w:pPr>
    </w:p>
    <w:p>
      <w:pPr>
        <w:jc w:val="both"/>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increased from US$18,913 in 2021 to US$40,518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increase of our outsourcing contractor fee for general project’s support, which is in line with the increase of our revenues in 2022.</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fees from terminated consulting projects, (iii) referral commission, and (iv) interest expenses.</w:t>
      </w:r>
    </w:p>
    <w:p>
      <w:pPr>
        <w:spacing w:after="0" w:line="94"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other income decreased from US$155,475 in 2021 to US$131,790 in 2022, primarily due to the decrease of referral commissions received for client referrals.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162"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7"/>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(27,514)</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(73,885)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(118,326)</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(22,754)</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273,593</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3,965,607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24" w:lineRule="exact"/>
        <w:rPr>
          <w:sz w:val="20"/>
          <w:szCs w:val="20"/>
          <w:color w:val="auto"/>
        </w:rPr>
      </w:pPr>
    </w:p>
    <w:p>
      <w:pPr>
        <w:ind w:left="460" w:right="71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126" w:lineRule="exact"/>
        <w:rPr>
          <w:sz w:val="20"/>
          <w:szCs w:val="20"/>
          <w:color w:val="auto"/>
        </w:rPr>
      </w:pPr>
    </w:p>
    <w:p>
      <w:pPr>
        <w:ind w:left="460" w:right="579" w:firstLine="432"/>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3" w:lineRule="exact"/>
        <w:rPr>
          <w:sz w:val="20"/>
          <w:szCs w:val="20"/>
          <w:color w:val="auto"/>
        </w:rPr>
      </w:pPr>
    </w:p>
    <w:p>
      <w:pPr>
        <w:jc w:val="both"/>
        <w:ind w:left="460" w:right="1019" w:hanging="6"/>
        <w:spacing w:after="0" w:line="255"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US$79,043, which was primarily attributable to purchase of property and equipment in the amount of US$79,043.</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2021 was US$53,313, which was primarily attributable to purchase of property and equipment in the amount of US$53,313 for business expansion.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2"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14" w:lineRule="exact"/>
        <w:rPr>
          <w:sz w:val="20"/>
          <w:szCs w:val="20"/>
          <w:color w:val="auto"/>
        </w:rPr>
      </w:pPr>
    </w:p>
    <w:p>
      <w:pPr>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June 30, 2023 are payable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12"/>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445,552</w:t>
            </w:r>
          </w:p>
        </w:tc>
      </w:tr>
      <w:tr>
        <w:trPr>
          <w:trHeight w:val="41"/>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r>
      <w:tr>
        <w:trPr>
          <w:trHeight w:val="24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0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critical accounting policies and practices include the following: (i) accounts receivable, net;</w:t>
      </w:r>
    </w:p>
    <w:p>
      <w:pPr>
        <w:spacing w:after="0" w:line="27" w:lineRule="exact"/>
        <w:rPr>
          <w:sz w:val="20"/>
          <w:szCs w:val="20"/>
          <w:color w:val="auto"/>
        </w:rPr>
      </w:pPr>
    </w:p>
    <w:p>
      <w:pPr>
        <w:jc w:val="both"/>
        <w:ind w:left="460" w:right="519" w:hanging="6"/>
        <w:spacing w:after="0" w:line="277" w:lineRule="auto"/>
        <w:tabs>
          <w:tab w:leader="none" w:pos="7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101"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Allowance for doubtful accounts for accounts receivable</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December 31,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24"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4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20"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94"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In the fourth quarter of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three corporate offices under leases of which two expire in 2024 and one expires in 2025.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COVID-19</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COVID-19 (Temporary Measures) Act 2020 (No. 14 of 2020) of Singapore (“</w:t>
      </w:r>
      <w:r>
        <w:rPr>
          <w:rFonts w:ascii="Times New Roman" w:cs="Times New Roman" w:eastAsia="Times New Roman" w:hAnsi="Times New Roman"/>
          <w:sz w:val="18"/>
          <w:szCs w:val="18"/>
          <w:b w:val="1"/>
          <w:bCs w:val="1"/>
          <w:color w:val="auto"/>
        </w:rPr>
        <w:t>COVID-19 Act</w:t>
      </w:r>
      <w:r>
        <w:rPr>
          <w:rFonts w:ascii="Times New Roman" w:cs="Times New Roman" w:eastAsia="Times New Roman" w:hAnsi="Times New Roman"/>
          <w:sz w:val="18"/>
          <w:szCs w:val="18"/>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98" w:lineRule="auto"/>
        <w:tabs>
          <w:tab w:leader="none" w:pos="85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90"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nominee.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0"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nominee. Dr. Koh has extensive experience in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nominee.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will initially consist of three directors, namely How Teck Lim,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9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57"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80"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will initially consist of three members, namely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How Teck Lim and Chwee Koh Chua. Noi Keng Koh will be the chairwoman of our compensation committee. Each of those three directors satisfies the “independence” requirements of</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1320" w:right="91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8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Times New Roman" w:cs="Times New Roman" w:eastAsia="Times New Roman" w:hAnsi="Times New Roman"/>
          <w:sz w:val="17"/>
          <w:szCs w:val="17"/>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0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4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1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4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6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60" w:hanging="406"/>
        <w:spacing w:after="0"/>
        <w:tabs>
          <w:tab w:leader="none" w:pos="8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w:t>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8 Temasek Boulevard Road, #24-03 Singapore, 038988.</w:t>
      </w:r>
    </w:p>
    <w:p>
      <w:pPr>
        <w:spacing w:after="0" w:line="19" w:lineRule="exact"/>
        <w:rPr>
          <w:sz w:val="20"/>
          <w:szCs w:val="20"/>
          <w:color w:val="auto"/>
        </w:rPr>
      </w:pPr>
    </w:p>
    <w:p>
      <w:pPr>
        <w:ind w:left="880" w:right="479" w:hanging="426"/>
        <w:spacing w:after="0" w:line="264" w:lineRule="auto"/>
        <w:tabs>
          <w:tab w:leader="none" w:pos="85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w:t>
      </w:r>
    </w:p>
    <w:p>
      <w:pPr>
        <w:sectPr>
          <w:pgSz w:w="11900" w:h="16838" w:orient="portrait"/>
          <w:cols w:equalWidth="0" w:num="1">
            <w:col w:w="9019"/>
          </w:cols>
          <w:pgMar w:left="1440" w:top="270" w:right="1440" w:bottom="974"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74"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6"/>
          <w:szCs w:val="16"/>
          <w:color w:val="auto"/>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US$959,422 to us to support our operations. The loan was due on demand. The remaining balance of the loan was fully settled in June 2023.</w:t>
      </w:r>
    </w:p>
    <w:p>
      <w:pPr>
        <w:spacing w:after="0" w:line="11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99"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Please refer to Registration Number 333-[•] when retrieving such copy.</w:t>
      </w:r>
    </w:p>
    <w:p>
      <w:pPr>
        <w:spacing w:after="0" w:line="106"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7"/>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70"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All of the Public Offering ADSs and Shareholder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30"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5%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180 days after the date of this prospectus, subject to certain exceptions and applicable notice requirements.</w:t>
      </w:r>
    </w:p>
    <w:p>
      <w:pPr>
        <w:spacing w:after="0" w:line="115"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24" w:lineRule="exact"/>
        <w:rPr>
          <w:sz w:val="20"/>
          <w:szCs w:val="20"/>
          <w:color w:val="auto"/>
        </w:rPr>
      </w:pPr>
    </w:p>
    <w:p>
      <w:pPr>
        <w:ind w:left="1320" w:right="83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94"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08"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81"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Subject to specified exceptions, Section 13W of the Income Tax Act 1947 (“</w:t>
      </w:r>
      <w:r>
        <w:rPr>
          <w:rFonts w:ascii="Times New Roman" w:cs="Times New Roman" w:eastAsia="Times New Roman" w:hAnsi="Times New Roman"/>
          <w:sz w:val="18"/>
          <w:szCs w:val="18"/>
          <w:b w:val="1"/>
          <w:bCs w:val="1"/>
          <w:color w:val="auto"/>
        </w:rPr>
        <w:t>SITA</w:t>
      </w:r>
      <w:r>
        <w:rPr>
          <w:rFonts w:ascii="Times New Roman" w:cs="Times New Roman" w:eastAsia="Times New Roman" w:hAnsi="Times New Roman"/>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4" w:lineRule="exact"/>
        <w:rPr>
          <w:sz w:val="20"/>
          <w:szCs w:val="20"/>
          <w:color w:val="auto"/>
        </w:rPr>
      </w:pPr>
    </w:p>
    <w:p>
      <w:pPr>
        <w:ind w:left="1320" w:right="81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exemption prescribed under Section 13W of the SITA is not applicable under the following scenarios:</w:t>
      </w:r>
    </w:p>
    <w:p>
      <w:pPr>
        <w:spacing w:after="0" w:line="156" w:lineRule="exact"/>
        <w:rPr>
          <w:sz w:val="20"/>
          <w:szCs w:val="20"/>
          <w:color w:val="auto"/>
        </w:rPr>
      </w:pPr>
    </w:p>
    <w:p>
      <w:pPr>
        <w:ind w:left="1320" w:right="999" w:hanging="434"/>
        <w:spacing w:after="0" w:line="282" w:lineRule="auto"/>
        <w:tabs>
          <w:tab w:leader="none" w:pos="13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the gains or profits of which are included as part of the income of an insurer company;</w:t>
      </w:r>
    </w:p>
    <w:p>
      <w:pPr>
        <w:spacing w:after="0" w:line="6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before 1 June 2022 in a company that is:</w:t>
      </w:r>
    </w:p>
    <w:p>
      <w:pPr>
        <w:spacing w:after="0" w:line="13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Singapore immovable properties; or</w:t>
      </w:r>
    </w:p>
    <w:p>
      <w:pPr>
        <w:spacing w:after="0" w:line="144" w:lineRule="exact"/>
        <w:rPr>
          <w:rFonts w:ascii="Times New Roman" w:cs="Times New Roman" w:eastAsia="Times New Roman" w:hAnsi="Times New Roman"/>
          <w:sz w:val="18"/>
          <w:szCs w:val="18"/>
          <w:color w:val="auto"/>
        </w:rPr>
      </w:pPr>
    </w:p>
    <w:p>
      <w:pPr>
        <w:ind w:left="1760" w:right="759" w:hanging="442"/>
        <w:spacing w:after="0" w:line="266" w:lineRule="auto"/>
        <w:tabs>
          <w:tab w:leader="none" w:pos="172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Singapore immovable properties, other than property development, where the shares are not listed on a stock exchange in Singapore or elsewhere;</w:t>
      </w:r>
    </w:p>
    <w:p>
      <w:pPr>
        <w:spacing w:after="0" w:line="81"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on or after 1 June 2022 not listed on a stock exchange in Singapore or elsewhere, being shares in a company that the Comptroller is satisfied:</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immovable properties situated whether in Singapore or elsewhere;</w:t>
      </w:r>
    </w:p>
    <w:p>
      <w:pPr>
        <w:spacing w:after="0" w:line="144" w:lineRule="exact"/>
        <w:rPr>
          <w:rFonts w:ascii="Times New Roman" w:cs="Times New Roman" w:eastAsia="Times New Roman" w:hAnsi="Times New Roman"/>
          <w:sz w:val="18"/>
          <w:szCs w:val="18"/>
          <w:color w:val="auto"/>
        </w:rPr>
      </w:pPr>
    </w:p>
    <w:p>
      <w:pPr>
        <w:ind w:left="1760" w:right="1099" w:hanging="442"/>
        <w:spacing w:after="0" w:line="282" w:lineRule="auto"/>
        <w:tabs>
          <w:tab w:leader="none" w:pos="172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immovable properties situated whether in Singapore or elsewhere; or</w:t>
      </w:r>
    </w:p>
    <w:p>
      <w:pPr>
        <w:spacing w:after="0" w:line="67"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undertaken property development on Singapore or elsewhere, except where:</w:t>
      </w:r>
    </w:p>
    <w:p>
      <w:pPr>
        <w:spacing w:after="0" w:line="130" w:lineRule="exact"/>
        <w:rPr>
          <w:rFonts w:ascii="Times New Roman" w:cs="Times New Roman" w:eastAsia="Times New Roman" w:hAnsi="Times New Roman"/>
          <w:sz w:val="18"/>
          <w:szCs w:val="18"/>
          <w:color w:val="auto"/>
        </w:rPr>
      </w:pPr>
    </w:p>
    <w:p>
      <w:pPr>
        <w:ind w:left="2180" w:right="599" w:hanging="430"/>
        <w:spacing w:after="0" w:line="266" w:lineRule="auto"/>
        <w:tabs>
          <w:tab w:leader="none" w:pos="2173"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94" w:lineRule="exact"/>
        <w:rPr>
          <w:rFonts w:ascii="Times New Roman" w:cs="Times New Roman" w:eastAsia="Times New Roman" w:hAnsi="Times New Roman"/>
          <w:sz w:val="18"/>
          <w:szCs w:val="18"/>
          <w:color w:val="auto"/>
        </w:rPr>
      </w:pPr>
    </w:p>
    <w:p>
      <w:pPr>
        <w:ind w:left="2180" w:right="519" w:hanging="430"/>
        <w:spacing w:after="0" w:line="282" w:lineRule="auto"/>
        <w:tabs>
          <w:tab w:leader="none" w:pos="2163"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undertake any property development in Singapore or elsewhere for a period of at least 60 consecutive months before the disposal of shares; or</w:t>
      </w:r>
    </w:p>
    <w:p>
      <w:pPr>
        <w:spacing w:after="0" w:line="6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2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disposal(s) of shares by a partnership, limited partnership and limited liability partnership one or more of the partners of which is a company or are companies.</w:t>
      </w:r>
    </w:p>
    <w:p>
      <w:pPr>
        <w:spacing w:after="0" w:line="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93"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6" w:lineRule="auto"/>
        <w:rPr>
          <w:sz w:val="20"/>
          <w:szCs w:val="20"/>
          <w:color w:val="auto"/>
        </w:rPr>
      </w:pPr>
      <w:r>
        <w:rPr>
          <w:rFonts w:ascii="Times New Roman" w:cs="Times New Roman" w:eastAsia="Times New Roman" w:hAnsi="Times New Roman"/>
          <w:sz w:val="18"/>
          <w:szCs w:val="18"/>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5" w:lineRule="exact"/>
        <w:rPr>
          <w:sz w:val="20"/>
          <w:szCs w:val="20"/>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30"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80"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80"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67" w:lineRule="exact"/>
        <w:rPr>
          <w:sz w:val="20"/>
          <w:szCs w:val="20"/>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3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80"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08"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5"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10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expect to enter into an underwriting agreement with Eddid Securities USA, Inc., or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Underwriter has agreed to purchase, and we have agreed to sell to it, the number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at the initial public offering price, less the underwriting discounts and commissions, as set forth on the cover page of this prospectus and as indicated below:</w:t>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41275</wp:posOffset>
            </wp:positionV>
            <wp:extent cx="514350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720" w:space="720"/>
            <w:col w:w="15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Eddid Securities USA, Inc.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62"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six percent (6%) of the gross proceeds of the securities being offered from investors introduced by the Underwriter, and a gross discount equal to</w:t>
      </w:r>
    </w:p>
    <w:p>
      <w:pPr>
        <w:ind w:left="460" w:right="639"/>
        <w:spacing w:after="0" w:line="260" w:lineRule="auto"/>
        <w:rPr>
          <w:sz w:val="20"/>
          <w:szCs w:val="20"/>
          <w:color w:val="auto"/>
        </w:rPr>
      </w:pPr>
      <w:r>
        <w:rPr>
          <w:rFonts w:ascii="Times New Roman" w:cs="Times New Roman" w:eastAsia="Times New Roman" w:hAnsi="Times New Roman"/>
          <w:sz w:val="18"/>
          <w:szCs w:val="18"/>
          <w:color w:val="auto"/>
        </w:rPr>
        <w:t>three percent (3%) of gross proceeds (or in cash in the equivalent amount) of the securities being offered from investors introduced by the Company.</w:t>
      </w:r>
    </w:p>
    <w:p>
      <w:pPr>
        <w:spacing w:after="0" w:line="100"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will also pay to the Underwriter by deduction from the net proceeds of this offering, a non-accountable expense allowance equal to one percent (1%) of the gross proceeds received by us from the sale of our ADSs.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US$250,000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10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underwriting discounts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and commissions and non-accountable expense allowance, will be approximately US$[</w:t>
            </w:r>
          </w:p>
        </w:tc>
        <w:tc>
          <w:tcPr>
            <w:tcW w:w="15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654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119</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shareholders holding 5%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460" w:right="83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108"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 may bid for, and purchase, our ADSs in market making transactions, including “passive” market making transactions as described below.</w:t>
      </w:r>
    </w:p>
    <w:p>
      <w:pPr>
        <w:spacing w:after="0" w:line="94"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20"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0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60"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6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06"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99"/>
        <w:spacing w:after="0" w:line="266" w:lineRule="auto"/>
        <w:rPr>
          <w:sz w:val="20"/>
          <w:szCs w:val="20"/>
          <w:color w:val="auto"/>
        </w:rPr>
      </w:pPr>
      <w:r>
        <w:rPr>
          <w:rFonts w:ascii="Times New Roman" w:cs="Times New Roman" w:eastAsia="Times New Roman" w:hAnsi="Times New Roman"/>
          <w:sz w:val="18"/>
          <w:szCs w:val="18"/>
          <w:color w:val="auto"/>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6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44" w:lineRule="exact"/>
        <w:rPr>
          <w:sz w:val="20"/>
          <w:szCs w:val="20"/>
          <w:color w:val="auto"/>
        </w:rPr>
      </w:pPr>
    </w:p>
    <w:p>
      <w:pPr>
        <w:jc w:val="both"/>
        <w:ind w:left="1320" w:right="719" w:hanging="434"/>
        <w:spacing w:after="0" w:line="266"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9" w:lineRule="exact"/>
        <w:rPr>
          <w:sz w:val="20"/>
          <w:szCs w:val="20"/>
          <w:color w:val="auto"/>
        </w:rPr>
      </w:pPr>
    </w:p>
    <w:p>
      <w:pPr>
        <w:ind w:left="1320" w:right="65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33"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46"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3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1" w:lineRule="exact"/>
        <w:rPr>
          <w:sz w:val="20"/>
          <w:szCs w:val="20"/>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4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4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4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2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July 7,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26"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(174,377)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29,967</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4"/>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loss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shd w:val="clear" w:color="auto" w:fill="CCEEFF"/>
          </w:tcPr>
          <w:p>
            <w:pPr>
              <w:spacing w:after="0"/>
              <w:rPr>
                <w:sz w:val="23"/>
                <w:szCs w:val="23"/>
                <w:color w:val="auto"/>
              </w:rPr>
            </w:pP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174"/>
        </w:trPr>
        <w:tc>
          <w:tcPr>
            <w:tcW w:w="1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410,205,000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4,102</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(1,323,341)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6"/>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(1,129,489)</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29,967</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in)/provided by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Amortisation of right-of-use asset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benefit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(118,779)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166,358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51,491</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461,128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192,935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30,445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249,052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244,100</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(53,313)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(53,313</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(229,201)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652,789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48,370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4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748,533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(239,357)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1,378,257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66,030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671,672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255,956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17,637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SUPPLEMENTAL DISCLOSURE OF CASH FLOW INFORMATION: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21"/>
                <w:szCs w:val="21"/>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1,561,203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42,510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 (Note 11)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74"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has not started business as of December 31, 2022.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Reorganization</w:t>
      </w:r>
    </w:p>
    <w:p>
      <w:pPr>
        <w:spacing w:after="0" w:line="15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44"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1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9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provision of allowance for doubtful accounts as of December 31,2022 and 2021.</w:t>
      </w:r>
    </w:p>
    <w:p>
      <w:pPr>
        <w:spacing w:after="0" w:line="154" w:lineRule="exact"/>
        <w:rPr>
          <w:sz w:val="20"/>
          <w:szCs w:val="20"/>
          <w:color w:val="auto"/>
        </w:rPr>
      </w:pPr>
    </w:p>
    <w:p>
      <w:pPr>
        <w:ind w:left="1320" w:hanging="434"/>
        <w:spacing w:after="0"/>
        <w:tabs>
          <w:tab w:leader="none" w:pos="132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49"/>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4"/>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49"/>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3" w:lineRule="exact"/>
        <w:rPr>
          <w:sz w:val="20"/>
          <w:szCs w:val="20"/>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4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2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7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ind w:left="880" w:right="799"/>
        <w:spacing w:after="0" w:line="414" w:lineRule="auto"/>
        <w:rPr>
          <w:sz w:val="20"/>
          <w:szCs w:val="20"/>
          <w:color w:val="auto"/>
        </w:rPr>
      </w:pPr>
      <w:r>
        <w:rPr>
          <w:rFonts w:ascii="Times New Roman" w:cs="Times New Roman" w:eastAsia="Times New Roman" w:hAnsi="Times New Roman"/>
          <w:sz w:val="18"/>
          <w:szCs w:val="18"/>
          <w:color w:val="auto"/>
        </w:rPr>
        <w:t xml:space="preserve">No impairment of long-lived assets was recognized for the years ended December 31, 2022 and 2021. </w:t>
      </w:r>
      <w:r>
        <w:rPr>
          <w:rFonts w:ascii="Times New Roman" w:cs="Times New Roman" w:eastAsia="Times New Roman" w:hAnsi="Times New Roman"/>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6" w:lineRule="exact"/>
        <w:rPr>
          <w:sz w:val="20"/>
          <w:szCs w:val="20"/>
          <w:color w:val="auto"/>
        </w:rPr>
      </w:pPr>
    </w:p>
    <w:p>
      <w:pPr>
        <w:ind w:left="1320" w:right="49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6" w:lineRule="exact"/>
        <w:rPr>
          <w:sz w:val="20"/>
          <w:szCs w:val="20"/>
          <w:color w:val="auto"/>
        </w:rPr>
      </w:pPr>
    </w:p>
    <w:p>
      <w:pPr>
        <w:ind w:left="1280" w:hanging="394"/>
        <w:spacing w:after="0"/>
        <w:tabs>
          <w:tab w:leader="none" w:pos="128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2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6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2022 and 2021:</w:t>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396,637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9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2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2022 and 2021.</w:t>
      </w:r>
    </w:p>
    <w:p>
      <w:pPr>
        <w:spacing w:after="0" w:line="77" w:lineRule="exact"/>
        <w:rPr>
          <w:sz w:val="20"/>
          <w:szCs w:val="20"/>
          <w:color w:val="auto"/>
        </w:rPr>
      </w:pPr>
    </w:p>
    <w:p>
      <w:pPr>
        <w:ind w:left="1280" w:hanging="394"/>
        <w:spacing w:after="0"/>
        <w:tabs>
          <w:tab w:leader="none" w:pos="128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6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11"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77" w:lineRule="auto"/>
        <w:rPr>
          <w:sz w:val="20"/>
          <w:szCs w:val="20"/>
          <w:color w:val="auto"/>
        </w:rPr>
      </w:pPr>
      <w:r>
        <w:rPr>
          <w:rFonts w:ascii="Times New Roman" w:cs="Times New Roman" w:eastAsia="Times New Roman" w:hAnsi="Times New Roman"/>
          <w:sz w:val="17"/>
          <w:szCs w:val="17"/>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0"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280" w:hanging="394"/>
        <w:spacing w:after="0"/>
        <w:tabs>
          <w:tab w:leader="none" w:pos="128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Goods and services taxes</w:t>
      </w:r>
    </w:p>
    <w:p>
      <w:pPr>
        <w:spacing w:after="0" w:line="162"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  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(n)</w:t>
        <w:tab/>
        <w:t>Foreign currency transactions and translations</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362"/>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Comprehensive income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9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Loss/income per share</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(q)</w:t>
      </w:r>
      <w:r>
        <w:rPr>
          <w:sz w:val="20"/>
          <w:szCs w:val="20"/>
          <w:color w:val="auto"/>
        </w:rPr>
        <w:tab/>
      </w:r>
      <w:r>
        <w:rPr>
          <w:rFonts w:ascii="Times New Roman" w:cs="Times New Roman" w:eastAsia="Times New Roman" w:hAnsi="Times New Roman"/>
          <w:sz w:val="17"/>
          <w:szCs w:val="17"/>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7" w:lineRule="exact"/>
        <w:rPr>
          <w:sz w:val="20"/>
          <w:szCs w:val="20"/>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6" w:lineRule="exact"/>
        <w:rPr>
          <w:sz w:val="20"/>
          <w:szCs w:val="20"/>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06"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799"/>
        <w:spacing w:after="0" w:line="276" w:lineRule="auto"/>
        <w:rPr>
          <w:sz w:val="20"/>
          <w:szCs w:val="20"/>
          <w:color w:val="auto"/>
        </w:rPr>
      </w:pPr>
      <w:r>
        <w:rPr>
          <w:rFonts w:ascii="Times New Roman" w:cs="Times New Roman" w:eastAsia="Times New Roman" w:hAnsi="Times New Roman"/>
          <w:sz w:val="17"/>
          <w:szCs w:val="17"/>
          <w:color w:val="auto"/>
        </w:rPr>
        <w:t>FASB issued ASU No. 2018-19, Codification Improvements to Topic 326, to clarify that receivables arising from operating leases are within the scope of lease accounting standards. Further, the FASB issued ASU</w:t>
      </w:r>
    </w:p>
    <w:p>
      <w:pPr>
        <w:spacing w:after="0" w:line="1"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11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47,547</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458" w:lineRule="auto"/>
        <w:tabs>
          <w:tab w:leader="none" w:pos="85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141,851</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106,718</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$16,867 and $5,363 for the years ended December 31, 2022 and 2021,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483" w:lineRule="auto"/>
        <w:tabs>
          <w:tab w:leader="none" w:pos="853"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3" w:lineRule="exact"/>
        <w:rPr>
          <w:sz w:val="20"/>
          <w:szCs w:val="20"/>
          <w:color w:val="auto"/>
        </w:rPr>
      </w:pPr>
    </w:p>
    <w:p>
      <w:pPr>
        <w:ind w:left="860" w:hanging="406"/>
        <w:spacing w:after="0"/>
        <w:tabs>
          <w:tab w:leader="none" w:pos="8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153,565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345,255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1,649,507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181,521</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1,190,287</w:t>
            </w:r>
          </w:p>
        </w:tc>
      </w:tr>
    </w:tbl>
    <w:p>
      <w:pPr>
        <w:spacing w:after="0" w:line="23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4,793</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
        </w:trPr>
        <w:tc>
          <w:tcPr>
            <w:tcW w:w="5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significant components of the deferred tax assets are summarized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164,313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6,214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8,038</w:t>
            </w:r>
          </w:p>
        </w:tc>
      </w:tr>
      <w:tr>
        <w:trPr>
          <w:trHeight w:val="284"/>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238,081</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2022 and 2021, summary of the borrowings is as following:</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1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8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Long-  (current  Long-</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USD</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4.25% September 2021 September 2026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25,888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 Limited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2022</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July 2027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298,418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55,243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719,518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expenses were $17,813 and $745 for the years ended December 31, 2022 and 2021, respectively.</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2022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56"/>
              <w:spacing w:after="0"/>
              <w:rPr>
                <w:sz w:val="20"/>
                <w:szCs w:val="20"/>
                <w:color w:val="auto"/>
              </w:rPr>
            </w:pPr>
            <w:r>
              <w:rPr>
                <w:rFonts w:ascii="Times New Roman" w:cs="Times New Roman" w:eastAsia="Times New Roman" w:hAnsi="Times New Roman"/>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136,576</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619" w:hanging="426"/>
        <w:spacing w:after="0" w:line="267"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3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0" w:type="dxa"/>
            <w:vAlign w:val="bottom"/>
          </w:tcPr>
          <w:p>
            <w:pPr>
              <w:spacing w:after="0"/>
              <w:rPr>
                <w:sz w:val="1"/>
                <w:szCs w:val="1"/>
                <w:color w:val="auto"/>
              </w:rPr>
            </w:pPr>
          </w:p>
        </w:tc>
      </w:tr>
      <w:tr>
        <w:trPr>
          <w:trHeight w:val="252"/>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4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9"/>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party transactions</w:t>
            </w: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declared dividend to Soon Huat Lim.</w:t>
      </w:r>
    </w:p>
    <w:p>
      <w:pPr>
        <w:spacing w:after="0" w:line="21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10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1" w:lineRule="exact"/>
        <w:rPr>
          <w:sz w:val="20"/>
          <w:szCs w:val="20"/>
          <w:color w:val="auto"/>
        </w:rPr>
      </w:pPr>
    </w:p>
    <w:p>
      <w:pPr>
        <w:ind w:left="460" w:right="659" w:firstLine="432"/>
        <w:spacing w:after="0" w:line="312" w:lineRule="auto"/>
        <w:rPr>
          <w:sz w:val="20"/>
          <w:szCs w:val="20"/>
          <w:color w:val="auto"/>
        </w:rPr>
      </w:pPr>
      <w:r>
        <w:rPr>
          <w:rFonts w:ascii="Times New Roman" w:cs="Times New Roman" w:eastAsia="Times New Roman" w:hAnsi="Times New Roman"/>
          <w:sz w:val="17"/>
          <w:szCs w:val="17"/>
          <w:color w:val="auto"/>
        </w:rPr>
        <w:t>As of December 31, 2022 and 2021, subscription receivable on the consolidated balance sheets represented the unrecovered consideration of the nil and 410,205,000 ordinary shares issued by the Company.</w:t>
      </w:r>
    </w:p>
    <w:p>
      <w:pPr>
        <w:spacing w:after="0" w:line="95"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CONSOLIDATED FINANCIAL STATEMENTS (In U.S. dollars, except for share and per share data, or otherwise noted)</w:t>
      </w:r>
    </w:p>
    <w:p>
      <w:pPr>
        <w:spacing w:after="0" w:line="13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7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47625</wp:posOffset>
            </wp:positionV>
            <wp:extent cx="15944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4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47625</wp:posOffset>
            </wp:positionV>
            <wp:extent cx="16033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3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94" w:lineRule="exact"/>
        <w:rPr>
          <w:sz w:val="20"/>
          <w:szCs w:val="20"/>
          <w:color w:val="auto"/>
        </w:rPr>
      </w:pPr>
    </w:p>
    <w:p>
      <w:pPr>
        <w:ind w:left="460" w:right="619" w:firstLine="432"/>
        <w:spacing w:after="0" w:line="274" w:lineRule="auto"/>
        <w:rPr>
          <w:sz w:val="20"/>
          <w:szCs w:val="20"/>
          <w:color w:val="auto"/>
        </w:rPr>
      </w:pPr>
      <w:r>
        <w:rPr>
          <w:rFonts w:ascii="Times New Roman" w:cs="Times New Roman" w:eastAsia="Times New Roman" w:hAnsi="Times New Roman"/>
          <w:sz w:val="17"/>
          <w:szCs w:val="17"/>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9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CONDENSED CONSOLIDATED BALANCE SHEETS (In U.S. dollars, except for share and per share data, or otherwise noted)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424,868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11,093,048</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16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(153,220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ordinary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equity/(deficit)</w:t>
            </w:r>
          </w:p>
        </w:tc>
        <w:tc>
          <w:tcPr>
            <w:tcW w:w="0" w:type="dxa"/>
            <w:vAlign w:val="bottom"/>
          </w:tcPr>
          <w:p>
            <w:pPr>
              <w:spacing w:after="0"/>
              <w:rPr>
                <w:sz w:val="1"/>
                <w:szCs w:val="1"/>
                <w:color w:val="auto"/>
              </w:rPr>
            </w:pPr>
          </w:p>
        </w:tc>
      </w:tr>
      <w:tr>
        <w:trPr>
          <w:trHeight w:val="23"/>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(4,102</w:t>
            </w: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(306</w:t>
            </w: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(311,036)</w:t>
            </w:r>
          </w:p>
        </w:tc>
        <w:tc>
          <w:tcPr>
            <w:tcW w:w="0" w:type="dxa"/>
            <w:vAlign w:val="bottom"/>
          </w:tcPr>
          <w:p>
            <w:pPr>
              <w:spacing w:after="0"/>
              <w:rPr>
                <w:sz w:val="1"/>
                <w:szCs w:val="1"/>
                <w:color w:val="auto"/>
              </w:rPr>
            </w:pPr>
          </w:p>
        </w:tc>
      </w:tr>
      <w:tr>
        <w:trPr>
          <w:trHeight w:val="271"/>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(1,323,341</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(37,788</w:t>
            </w: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(1,324,787)</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(1,861,412)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410,205,000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4,102</w:t>
            </w:r>
          </w:p>
        </w:tc>
        <w:tc>
          <w:tcPr>
            <w:tcW w:w="8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(3,259,598</w:t>
            </w:r>
            <w:r>
              <w:rPr>
                <w:rFonts w:ascii="Times New Roman" w:cs="Times New Roman" w:eastAsia="Times New Roman" w:hAnsi="Times New Roman"/>
                <w:sz w:val="16"/>
                <w:szCs w:val="16"/>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(2,935</w:t>
            </w: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(3,226,191</w:t>
            </w: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-398145</wp:posOffset>
            </wp:positionV>
            <wp:extent cx="285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7" w:lineRule="exact"/>
        <w:rPr>
          <w:sz w:val="20"/>
          <w:szCs w:val="20"/>
          <w:color w:val="auto"/>
        </w:rPr>
      </w:pPr>
    </w:p>
    <w:p>
      <w:pPr>
        <w:ind w:left="860" w:hanging="406"/>
        <w:spacing w:after="0"/>
        <w:tabs>
          <w:tab w:leader="none" w:pos="8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UNAUDITED CONDENSED CONSOLIDATED STATEMENTS OF CASH FLOWS (In U.S. dollars, except for share and per share data, or otherwise noted)</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(2,380,926)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(113,439)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72" w:lineRule="exact"/>
        <w:rPr>
          <w:sz w:val="20"/>
          <w:szCs w:val="20"/>
          <w:color w:val="auto"/>
        </w:rPr>
      </w:pPr>
    </w:p>
    <w:p>
      <w:pPr>
        <w:ind w:left="860" w:hanging="406"/>
        <w:spacing w:after="0"/>
        <w:tabs>
          <w:tab w:leader="none" w:pos="8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7" w:lineRule="exact"/>
        <w:rPr>
          <w:rFonts w:ascii="Times New Roman" w:cs="Times New Roman" w:eastAsia="Times New Roman" w:hAnsi="Times New Roman"/>
          <w:sz w:val="18"/>
          <w:szCs w:val="18"/>
          <w:b w:val="1"/>
          <w:bCs w:val="1"/>
          <w:color w:val="auto"/>
        </w:rPr>
      </w:pPr>
    </w:p>
    <w:p>
      <w:pPr>
        <w:ind w:left="1280" w:hanging="394"/>
        <w:spacing w:after="0"/>
        <w:tabs>
          <w:tab w:leader="none" w:pos="1280" w:val="left"/>
        </w:tabs>
        <w:numPr>
          <w:ilvl w:val="1"/>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7"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11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Accounts receivable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70" w:lineRule="auto"/>
        <w:rPr>
          <w:sz w:val="20"/>
          <w:szCs w:val="20"/>
          <w:color w:val="auto"/>
        </w:rPr>
      </w:pPr>
      <w:r>
        <w:rPr>
          <w:rFonts w:ascii="Times New Roman" w:cs="Times New Roman" w:eastAsia="Times New Roman" w:hAnsi="Times New Roman"/>
          <w:sz w:val="17"/>
          <w:szCs w:val="17"/>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3" w:lineRule="exact"/>
        <w:rPr>
          <w:sz w:val="20"/>
          <w:szCs w:val="20"/>
          <w:color w:val="auto"/>
        </w:rPr>
      </w:pPr>
    </w:p>
    <w:p>
      <w:pPr>
        <w:ind w:left="460" w:right="559"/>
        <w:spacing w:after="0" w:line="252" w:lineRule="auto"/>
        <w:rPr>
          <w:sz w:val="20"/>
          <w:szCs w:val="20"/>
          <w:color w:val="auto"/>
        </w:rPr>
      </w:pPr>
      <w:r>
        <w:rPr>
          <w:rFonts w:ascii="Times New Roman" w:cs="Times New Roman" w:eastAsia="Times New Roman" w:hAnsi="Times New Roman"/>
          <w:sz w:val="18"/>
          <w:szCs w:val="18"/>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2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20" w:lineRule="exact"/>
        <w:rPr>
          <w:sz w:val="20"/>
          <w:szCs w:val="20"/>
          <w:color w:val="auto"/>
        </w:rPr>
      </w:pPr>
    </w:p>
    <w:p>
      <w:pPr>
        <w:jc w:val="center"/>
        <w:ind w:left="2160" w:right="160"/>
        <w:spacing w:after="0" w:line="485" w:lineRule="auto"/>
        <w:rPr>
          <w:sz w:val="20"/>
          <w:szCs w:val="20"/>
          <w:color w:val="auto"/>
        </w:rPr>
      </w:pPr>
      <w:r>
        <w:rPr>
          <w:rFonts w:ascii="Times New Roman" w:cs="Times New Roman" w:eastAsia="Times New Roman" w:hAnsi="Times New Roman"/>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06"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consulting</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 customization</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46"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revenue is recognized at a point in time when the customized software solution is successfully completed, delivered and accepted by customers.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21"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08"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six months ended June 30, 2023 and 2022:</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539"/>
        <w:spacing w:after="0" w:line="266" w:lineRule="auto"/>
        <w:rPr>
          <w:sz w:val="20"/>
          <w:szCs w:val="20"/>
          <w:color w:val="auto"/>
        </w:rPr>
      </w:pPr>
      <w:r>
        <w:rPr>
          <w:rFonts w:ascii="Times New Roman" w:cs="Times New Roman" w:eastAsia="Times New Roman" w:hAnsi="Times New Roman"/>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08"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Other than accounts receivable and deferred revenue, the Group had no other material contract assets or contract liabilities recorded on its consolidated balance sheets as of June 30, 2023 and December 31, 2022.</w:t>
      </w:r>
    </w:p>
    <w:p>
      <w:pPr>
        <w:spacing w:after="0" w:line="5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16"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24"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Translation of foreign currencies into US$1 have been made at the following exchange rates for the respective periods: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20" w:hanging="434"/>
        <w:spacing w:after="0"/>
        <w:tabs>
          <w:tab w:leader="none" w:pos="1320" w:val="left"/>
        </w:tabs>
        <w:numPr>
          <w:ilvl w:val="0"/>
          <w:numId w:val="1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62"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ind w:left="1300" w:hanging="414"/>
        <w:spacing w:after="0"/>
        <w:tabs>
          <w:tab w:leader="none" w:pos="130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102"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860" w:hanging="406"/>
        <w:spacing w:after="0"/>
        <w:tabs>
          <w:tab w:leader="none" w:pos="8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458" w:lineRule="auto"/>
        <w:tabs>
          <w:tab w:leader="none" w:pos="853"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165,264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were $18,837 and $5,663 for the six months ended June 30, 2023 and 2022,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483" w:lineRule="auto"/>
        <w:tabs>
          <w:tab w:leader="none" w:pos="853"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miscellaneous fees payable to third parties.</w:t>
      </w:r>
    </w:p>
    <w:p>
      <w:pPr>
        <w:spacing w:after="0" w:line="226" w:lineRule="exact"/>
        <w:rPr>
          <w:sz w:val="20"/>
          <w:szCs w:val="20"/>
          <w:color w:val="auto"/>
        </w:rPr>
      </w:pPr>
    </w:p>
    <w:p>
      <w:pPr>
        <w:ind w:left="860" w:hanging="406"/>
        <w:spacing w:after="0"/>
        <w:tabs>
          <w:tab w:leader="none" w:pos="8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108"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3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200,292</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June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212"/>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156,754</w:t>
            </w:r>
          </w:p>
        </w:tc>
        <w:tc>
          <w:tcPr>
            <w:tcW w:w="20" w:type="dxa"/>
            <w:vAlign w:val="bottom"/>
          </w:tcPr>
          <w:p>
            <w:pPr>
              <w:spacing w:after="0"/>
              <w:rPr>
                <w:sz w:val="24"/>
                <w:szCs w:val="24"/>
                <w:color w:val="auto"/>
              </w:rPr>
            </w:pPr>
          </w:p>
        </w:tc>
      </w:tr>
      <w:tr>
        <w:trPr>
          <w:trHeight w:val="23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1,521,638</w:t>
            </w:r>
          </w:p>
        </w:tc>
        <w:tc>
          <w:tcPr>
            <w:tcW w:w="20" w:type="dxa"/>
            <w:vAlign w:val="bottom"/>
          </w:tcPr>
          <w:p>
            <w:pPr>
              <w:spacing w:after="0"/>
              <w:rPr>
                <w:sz w:val="20"/>
                <w:szCs w:val="20"/>
                <w:color w:val="auto"/>
              </w:rPr>
            </w:pPr>
          </w:p>
        </w:tc>
      </w:tr>
      <w:tr>
        <w:trPr>
          <w:trHeight w:val="32"/>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378,056</w:t>
            </w:r>
          </w:p>
        </w:tc>
        <w:tc>
          <w:tcPr>
            <w:tcW w:w="20" w:type="dxa"/>
            <w:vAlign w:val="bottom"/>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As of June 30, 2023 and December 31,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w w:val="91"/>
              </w:rPr>
              <w:t>As of</w:t>
            </w: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562,071</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(238,081)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286,981</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Times New Roman" w:cs="Times New Roman" w:eastAsia="Times New Roman" w:hAnsi="Times New Roman"/>
          <w:sz w:val="18"/>
          <w:szCs w:val="18"/>
          <w:color w:val="auto"/>
        </w:rPr>
        <w:t>(92,998)</w:t>
      </w:r>
      <w:r>
        <w:rPr>
          <w:sz w:val="20"/>
          <w:szCs w:val="20"/>
          <w:color w:val="auto"/>
        </w:rPr>
        <w:tab/>
      </w:r>
      <w:r>
        <w:rPr>
          <w:rFonts w:ascii="Times New Roman" w:cs="Times New Roman" w:eastAsia="Times New Roman" w:hAnsi="Times New Roman"/>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Times New Roman" w:cs="Times New Roman" w:eastAsia="Times New Roman" w:hAnsi="Times New Roman"/>
          <w:sz w:val="18"/>
          <w:szCs w:val="18"/>
          <w:color w:val="auto"/>
        </w:rPr>
        <w:t>(261,815)</w:t>
      </w:r>
      <w:r>
        <w:rPr>
          <w:sz w:val="20"/>
          <w:szCs w:val="20"/>
          <w:color w:val="auto"/>
        </w:rPr>
        <w:tab/>
      </w:r>
      <w:r>
        <w:rPr>
          <w:rFonts w:ascii="Times New Roman" w:cs="Times New Roman" w:eastAsia="Times New Roman" w:hAnsi="Times New Roman"/>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Times New Roman" w:cs="Times New Roman" w:eastAsia="Times New Roman" w:hAnsi="Times New Roman"/>
          <w:sz w:val="18"/>
          <w:szCs w:val="18"/>
          <w:color w:val="auto"/>
        </w:rPr>
        <w:t>(12,277)</w:t>
      </w:r>
      <w:r>
        <w:rPr>
          <w:sz w:val="20"/>
          <w:szCs w:val="20"/>
          <w:color w:val="auto"/>
        </w:rPr>
        <w:tab/>
      </w:r>
      <w:r>
        <w:rPr>
          <w:rFonts w:ascii="Times New Roman" w:cs="Times New Roman" w:eastAsia="Times New Roman" w:hAnsi="Times New Roman"/>
          <w:sz w:val="17"/>
          <w:szCs w:val="17"/>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43180</wp:posOffset>
            </wp:positionV>
            <wp:extent cx="5143500"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Times New Roman" w:cs="Times New Roman" w:eastAsia="Times New Roman" w:hAnsi="Times New Roman"/>
          <w:sz w:val="18"/>
          <w:szCs w:val="18"/>
          <w:b w:val="1"/>
          <w:bCs w:val="1"/>
          <w:color w:val="auto"/>
        </w:rPr>
        <w:t>$</w:t>
        <w:tab/>
        <w:t>(367,090)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(286,981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242570</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53975</wp:posOffset>
            </wp:positionV>
            <wp:extent cx="1482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tab/>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45720</wp:posOffset>
            </wp:positionV>
            <wp:extent cx="1482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620" w:space="720"/>
            <w:col w:w="4679"/>
          </w:cols>
          <w:pgMar w:left="1440" w:top="270" w:right="1440" w:bottom="1440" w:gutter="0" w:footer="0" w:header="0"/>
          <w:type w:val="continuous"/>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630,695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2023 and December 31, 2022, summary of the borrowings is as following:</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2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00" w:type="dxa"/>
            <w:vAlign w:val="bottom"/>
            <w:gridSpan w:val="3"/>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portions)</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gridSpan w:val="3"/>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OCBC Bank</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2021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2026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25,888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12,379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5,046</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Maybank Singapore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2027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Interest expenses were $13,394 and $3,143 for the six months ended June 30, 2023 and 2022, respectively.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June 30,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21,158</w:t>
            </w:r>
          </w:p>
        </w:tc>
        <w:tc>
          <w:tcPr>
            <w:tcW w:w="320" w:type="dxa"/>
            <w:vAlign w:val="bottom"/>
            <w:gridSpan w:val="3"/>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98" w:lineRule="auto"/>
        <w:tabs>
          <w:tab w:leader="none" w:pos="88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recorded referral fees as other income when other consulting services providers successfully engaged by customer and paid the Group referral fee.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Chief Executive Officer</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Poh Kiong Tan</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Trident Foodtech Pte. Ltd.</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from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995,563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995,563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to this related party with no fixed term of repayment and interest. The Group has</w:t>
      </w:r>
    </w:p>
    <w:p>
      <w:pPr>
        <w:spacing w:after="0" w:line="26"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received the $995,563 in September</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2023.</w:t>
            </w:r>
          </w:p>
        </w:tc>
      </w:tr>
    </w:tbl>
    <w:p>
      <w:pPr>
        <w:spacing w:after="0" w:line="155"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40,197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59" w:hanging="426"/>
        <w:spacing w:after="0" w:line="269" w:lineRule="auto"/>
        <w:tabs>
          <w:tab w:leader="none" w:pos="8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679" w:hanging="426"/>
        <w:spacing w:after="0" w:line="288" w:lineRule="auto"/>
        <w:tabs>
          <w:tab w:leader="none" w:pos="88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interest-free loan from this related party for the Group’s daily operation at maturity within three months, offset by loan to this related party.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56,337</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899" w:hanging="426"/>
        <w:spacing w:after="0" w:line="298" w:lineRule="auto"/>
        <w:tabs>
          <w:tab w:leader="none" w:pos="8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2022, QZT received contribution from Poh Kiong Tan. The contribution was implemented to reduce the outstanding balance due to Poh Kiong Tan by $36,266.</w:t>
      </w:r>
    </w:p>
    <w:p>
      <w:pPr>
        <w:spacing w:after="0" w:line="15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NOTES TO UNAUDITED CONDENSED CONSOLIDATED FINANCIAL STATEMENTS (In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24"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spacing w:after="0" w:line="28"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59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6"/>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14%</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29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0"/>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45%</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G</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6"/>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102870</wp:posOffset>
            </wp:positionV>
            <wp:extent cx="1320165" cy="368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201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right="53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1752600</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February 7,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of 3,125,000 American Depositary Shares (“ADSs”) representing 25,000,000 Class B ordinary shares (the “Shareholder ADSs”) by the selling shareholder (the “Selling Shareholder”) named in this prospectus, based on an assumed initial public offering price of US$6.00. We will not receive any of the proceeds from the sale of the ADSs by the Selling Shareholder named in this prospectus. We are registering on the registration statement of which this prospectus forms a part a total of 3,125,000 ADSs representing 25,000,000 Class B ordinary shares, based on an assumed initial public offering price of US$6.00. Of the ADSs being registered, the Shareholder ADSs are being registered for resale by the Selling Shareholders, and 1,800,000 ADSs representing 14,400,000 Class B ordinary shares (the “Public Offering ADSs”) are being registered for sale in connection with an initial public offering by the Company, in each case, based on an assumed initial public offering price of US$6.00 per ADS. The offering of the Public Offering ADSs is being made on a firm commitment basis. Prior to this offering, there has been no public market for our ADSs or our Class B ordinary shares.</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sales price to the public of the Public Offering ADSs and the Shareholder ADSs will be fixed at the initial public offering price per Public Offering ADS until such time as our ADSs are listed on the Nasdaq Capital Market; thereafter, the Shareholder ADSs may be sold at prevailing market prices, prices related to prevailing market prices or at privately negotiated prices. We will not receive any proceeds from the sale of any of the 3,125,000 Shareholder ADSs sold by the Selling Shareholder. The offering of the Shareholder ADSs by the Selling Shareholder will terminate at the earlier of such time as all of the Shareholder ADSs have been sold pursuant to the registration statement and the date on which it is no longer necessary to maintain the registration of the Shareholder ADSs as a result of such ADSs being permitted to be offered and resold without restriction pursuant to the provisions of Rule 144 of the Securities Act of 1933, as amended (the “Securities Act”), and the offering of the Shareholder ADSs may extend for a longer period of time than the offering of the Public Offering ADSs. The Shareholder ADSs will be resold from time to time by the Selling Shareholder.</w:t>
      </w:r>
    </w:p>
    <w:p>
      <w:pPr>
        <w:spacing w:after="0" w:line="124"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95"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251460</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of the Public Offering Prospectus. Immediately following the completion of this offering,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20"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ind w:left="460" w:right="11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11 of the Public Offering Prospectus.</w:t>
      </w:r>
    </w:p>
    <w:p>
      <w:pPr>
        <w:spacing w:after="0" w:line="74"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32"/>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96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7310" cy="3964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3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us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the Selling Shareholder</w:t>
      </w:r>
    </w:p>
    <w:p>
      <w:pPr>
        <w:spacing w:after="0" w:line="200" w:lineRule="exact"/>
        <w:rPr>
          <w:sz w:val="20"/>
          <w:szCs w:val="20"/>
          <w:color w:val="auto"/>
        </w:rPr>
      </w:pPr>
    </w:p>
    <w:p>
      <w:pPr>
        <w:spacing w:after="0" w:line="214" w:lineRule="exact"/>
        <w:rPr>
          <w:sz w:val="20"/>
          <w:szCs w:val="20"/>
          <w:color w:val="auto"/>
        </w:rPr>
      </w:pPr>
    </w:p>
    <w:p>
      <w:pPr>
        <w:ind w:left="720" w:right="6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Ordinary Shares outstanding before the 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49" w:lineRule="exact"/>
        <w:rPr>
          <w:sz w:val="20"/>
          <w:szCs w:val="20"/>
          <w:color w:val="auto"/>
        </w:rPr>
      </w:pPr>
    </w:p>
    <w:p>
      <w:pPr>
        <w:ind w:left="72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rFonts w:ascii="Times New Roman" w:cs="Times New Roman" w:eastAsia="Times New Roman" w:hAnsi="Times New Roman"/>
          <w:sz w:val="20"/>
          <w:szCs w:val="20"/>
          <w:b w:val="1"/>
          <w:bCs w:val="1"/>
          <w:color w:val="auto"/>
          <w:vertAlign w:val="superscript"/>
        </w:rPr>
        <w:t>(2)</w:t>
      </w:r>
    </w:p>
    <w:p>
      <w:pPr>
        <w:spacing w:after="0" w:line="249" w:lineRule="exact"/>
        <w:rPr>
          <w:sz w:val="20"/>
          <w:szCs w:val="20"/>
          <w:color w:val="auto"/>
        </w:rPr>
      </w:pPr>
    </w:p>
    <w:p>
      <w:pPr>
        <w:ind w:left="720" w:right="480" w:hanging="179"/>
        <w:spacing w:after="0" w:line="337" w:lineRule="auto"/>
        <w:rPr>
          <w:sz w:val="20"/>
          <w:szCs w:val="20"/>
          <w:color w:val="auto"/>
        </w:rPr>
      </w:pPr>
      <w:r>
        <w:rPr>
          <w:rFonts w:ascii="Times New Roman" w:cs="Times New Roman" w:eastAsia="Times New Roman" w:hAnsi="Times New Roman"/>
          <w:sz w:val="17"/>
          <w:szCs w:val="17"/>
          <w:b w:val="1"/>
          <w:bCs w:val="1"/>
          <w:color w:val="auto"/>
        </w:rPr>
        <w:t>Ordinary shares outstanding immediately after this offering</w:t>
      </w:r>
      <w:r>
        <w:rPr>
          <w:rFonts w:ascii="Times New Roman" w:cs="Times New Roman" w:eastAsia="Times New Roman" w:hAnsi="Times New Roman"/>
          <w:sz w:val="19"/>
          <w:szCs w:val="19"/>
          <w:b w:val="1"/>
          <w:bCs w:val="1"/>
          <w:color w:val="auto"/>
          <w:vertAlign w:val="superscript"/>
        </w:rPr>
        <w:t>(1)</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198"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3,125,000 ADSs representing 25,000,000 Class B ordinary shares.</w:t>
      </w:r>
    </w:p>
    <w:p>
      <w:pPr>
        <w:spacing w:after="0" w:line="337"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324"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4,925,000 ADSs representing 39,400,000 Class B ordinary shares.</w:t>
      </w:r>
    </w:p>
    <w:p>
      <w:pPr>
        <w:spacing w:after="0" w:line="324"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121" w:lineRule="exact"/>
        <w:rPr>
          <w:sz w:val="20"/>
          <w:szCs w:val="20"/>
          <w:color w:val="auto"/>
        </w:rPr>
      </w:pPr>
    </w:p>
    <w:p>
      <w:pPr>
        <w:jc w:val="both"/>
        <w:ind w:right="939"/>
        <w:spacing w:after="0" w:line="312"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ADSs by the Selling Shareholder named in this prospectus.</w:t>
      </w:r>
    </w:p>
    <w:p>
      <w:pPr>
        <w:spacing w:after="0" w:line="320" w:lineRule="exact"/>
        <w:rPr>
          <w:sz w:val="20"/>
          <w:szCs w:val="20"/>
          <w:color w:val="auto"/>
        </w:rPr>
      </w:pPr>
    </w:p>
    <w:p>
      <w:pPr>
        <w:sectPr>
          <w:pgSz w:w="11900" w:h="16838" w:orient="portrait"/>
          <w:cols w:equalWidth="0" w:num="2">
            <w:col w:w="3660" w:space="120"/>
            <w:col w:w="5239"/>
          </w:cols>
          <w:pgMar w:left="1440" w:top="270" w:right="1440" w:bottom="1440" w:gutter="0" w:footer="0" w:header="0"/>
          <w:type w:val="continuous"/>
        </w:sectPr>
      </w:pPr>
    </w:p>
    <w:p>
      <w:pPr>
        <w:ind w:left="980" w:right="599" w:hanging="436"/>
        <w:spacing w:after="0" w:line="269" w:lineRule="auto"/>
        <w:tabs>
          <w:tab w:leader="none" w:pos="9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and after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We have agreed to bear the expenses relating to the registration of the ADSs for the Selling Shareholder.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 based on an assumed public offering price of US$6.00 per ADS.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2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ind w:left="880" w:right="779" w:hanging="426"/>
        <w:spacing w:after="0" w:line="272" w:lineRule="auto"/>
        <w:tabs>
          <w:tab w:leader="none" w:pos="88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are being registered to permit the resale of the Class B ordinary shares in the form of ADSs by the Selling Shareholder from time to time after the date of this prospectus. We will not receive any of the proceeds from the sale of Class B ordinary shares in the form of ADSs by the Selling Shareholder.</w:t>
      </w:r>
    </w:p>
    <w:p>
      <w:pPr>
        <w:spacing w:after="0" w:line="11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selling its Class B ordinary shares in the form of ADSs:</w:t>
      </w:r>
    </w:p>
    <w:p>
      <w:pPr>
        <w:spacing w:after="0" w:line="94" w:lineRule="exact"/>
        <w:rPr>
          <w:sz w:val="20"/>
          <w:szCs w:val="20"/>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44"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Class B ordinary shares represented by ADSs to or through underwriters, broker-dealers or agents, such underwriters, broker-dealers or agents may receive commissions in the form of discounts, concessions or commissions from such Selling Shareholder or commissions from purchasers of Class B ordinary shares represented by ADSs for whom they may act as agent or to whom they may sell as principal. Underwriters may sell securities to or through dealers, and dealers may receive compensation in the form of discounts, concessions or commissions from the underwriters and/or commissions from the purchasers for whom they may act as agent.</w:t>
      </w:r>
    </w:p>
    <w:p>
      <w:pPr>
        <w:spacing w:after="0" w:line="124"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The Selling Shareholder and any underwriters, brokers, dealers or agents that participate in such distribution may be deemed to be “underwriters” within the meaning of the Securities Act, and any discounts, commissions or concessions received by any underwriters, brokers, dealers or agents might be deemed to be underwriting discounts and commissions under the Securities Act. The Selling Shareholder who is an “underwriter” within the meaning of the Securities Act will be subject to the prospectus delivery requirements of the Securities Act and the provisions of the Exchange Act and the rules thereunder relating to stock manipulation.</w:t>
      </w:r>
    </w:p>
    <w:p>
      <w:pPr>
        <w:spacing w:after="0" w:line="121"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Class B ordinary shares represented by ADSs sold in those jurisdictions may only be sold through registered or licensed brokers or dealers. In addition, in some states, Class B ordinary shares represented by ADSs may not be sold unless the Class B ordinary shares represented by ADSs have been registered or qualified for sale in that state or an exemption from registration or qualification is available and is complied with.</w:t>
      </w:r>
    </w:p>
    <w:p>
      <w:pPr>
        <w:spacing w:after="0" w:line="10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65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869315</wp:posOffset>
            </wp:positionV>
            <wp:extent cx="514350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912495</wp:posOffset>
            </wp:positionV>
            <wp:extent cx="514350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1760855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indemnification for us and our officers and directors for certain liabilities.</w:t>
      </w:r>
    </w:p>
    <w:p>
      <w:pPr>
        <w:spacing w:after="0" w:line="81"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6"/>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499.99999</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Yat Hong Lo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Shisong Mai</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0"/>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ind w:left="460" w:right="739" w:firstLine="432"/>
        <w:spacing w:after="0" w:line="289" w:lineRule="auto"/>
        <w:rPr>
          <w:sz w:val="20"/>
          <w:szCs w:val="20"/>
          <w:color w:val="auto"/>
        </w:rPr>
      </w:pPr>
      <w:r>
        <w:rPr>
          <w:rFonts w:ascii="Times New Roman" w:cs="Times New Roman" w:eastAsia="Times New Roman" w:hAnsi="Times New Roman"/>
          <w:sz w:val="17"/>
          <w:szCs w:val="17"/>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related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ind w:left="1320" w:right="559" w:hanging="434"/>
        <w:spacing w:after="0" w:line="258" w:lineRule="auto"/>
        <w:tabs>
          <w:tab w:leader="none" w:pos="12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61" w:lineRule="auto"/>
        <w:tabs>
          <w:tab w:leader="none" w:pos="12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sz w:val="20"/>
          <w:szCs w:val="20"/>
          <w:color w:val="auto"/>
        </w:rPr>
      </w:pPr>
    </w:p>
    <w:p>
      <w:pPr>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0" w:lineRule="exact"/>
        <w:rPr>
          <w:sz w:val="20"/>
          <w:szCs w:val="20"/>
          <w:color w:val="auto"/>
        </w:rPr>
      </w:pPr>
    </w:p>
    <w:p>
      <w:pPr>
        <w:ind w:left="1320" w:right="859" w:hanging="434"/>
        <w:spacing w:after="0" w:line="282" w:lineRule="auto"/>
        <w:tabs>
          <w:tab w:leader="none" w:pos="128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320" w:right="1079" w:hanging="434"/>
        <w:spacing w:after="0" w:line="266" w:lineRule="auto"/>
        <w:tabs>
          <w:tab w:leader="none" w:pos="128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320" w:right="919" w:hanging="434"/>
        <w:spacing w:after="0" w:line="282" w:lineRule="auto"/>
        <w:tabs>
          <w:tab w:leader="none" w:pos="129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Documents</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1.1**</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8.1</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1">
        <w:r>
          <w:rPr>
            <w:rFonts w:ascii="Times New Roman" w:cs="Times New Roman" w:eastAsia="Times New Roman" w:hAnsi="Times New Roman"/>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3">
        <w:r>
          <w:rPr>
            <w:rFonts w:ascii="Times New Roman" w:cs="Times New Roman" w:eastAsia="Times New Roman" w:hAnsi="Times New Roman"/>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82" w:lineRule="auto"/>
        <w:rPr>
          <w:rFonts w:ascii="Times New Roman" w:cs="Times New Roman" w:eastAsia="Times New Roman" w:hAnsi="Times New Roman"/>
          <w:sz w:val="18"/>
          <w:szCs w:val="18"/>
          <w:u w:val="single" w:color="auto"/>
          <w:color w:val="0000EE"/>
        </w:rPr>
      </w:pPr>
      <w:hyperlink r:id="rId254">
        <w:r>
          <w:rPr>
            <w:rFonts w:ascii="Times New Roman" w:cs="Times New Roman" w:eastAsia="Times New Roman" w:hAnsi="Times New Roman"/>
            <w:sz w:val="18"/>
            <w:szCs w:val="18"/>
            <w:u w:val="single" w:color="auto"/>
            <w:color w:val="0000EE"/>
          </w:rPr>
          <w:t>Form of Amended and Restated Memorandum and Articles of Association of the Registrant, as</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-296545</wp:posOffset>
            </wp:positionV>
            <wp:extent cx="5143500" cy="2997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256">
        <w:r>
          <w:rPr>
            <w:rFonts w:ascii="Times New Roman" w:cs="Times New Roman" w:eastAsia="Times New Roman" w:hAnsi="Times New Roman"/>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8">
        <w:r>
          <w:rPr>
            <w:rFonts w:ascii="Times New Roman" w:cs="Times New Roman" w:eastAsia="Times New Roman" w:hAnsi="Times New Roman"/>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Times New Roman" w:cs="Times New Roman" w:eastAsia="Times New Roman" w:hAnsi="Times New Roman"/>
          <w:sz w:val="18"/>
          <w:szCs w:val="18"/>
          <w:u w:val="single" w:color="auto"/>
          <w:color w:val="0000EE"/>
        </w:rPr>
      </w:pPr>
      <w:hyperlink r:id="rId256">
        <w:r>
          <w:rPr>
            <w:rFonts w:ascii="Times New Roman" w:cs="Times New Roman" w:eastAsia="Times New Roman" w:hAnsi="Times New Roman"/>
            <w:sz w:val="18"/>
            <w:szCs w:val="18"/>
            <w:u w:val="single" w:color="auto"/>
            <w:color w:val="0000EE"/>
          </w:rPr>
          <w:t>Form of Deposit Agreement between the Registrant, the depositary and holders of the American</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sz w:val="20"/>
          <w:szCs w:val="20"/>
          <w:color w:val="auto"/>
        </w:rPr>
      </w:pPr>
      <w:r>
        <w:rPr>
          <w:rFonts w:ascii="Times New Roman" w:cs="Times New Roman" w:eastAsia="Times New Roman" w:hAnsi="Times New Roman"/>
          <w:sz w:val="18"/>
          <w:szCs w:val="18"/>
          <w:u w:val="single" w:color="auto"/>
          <w:color w:val="0000EE"/>
        </w:rPr>
        <w:t>Opinion of Maples and Calder (Hong Kong) LLP regarding the validity of the Class B ordinary shares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sz w:val="20"/>
          <w:szCs w:val="20"/>
          <w:color w:val="auto"/>
        </w:rPr>
      </w:pPr>
      <w:r>
        <w:rPr>
          <w:rFonts w:ascii="Times New Roman" w:cs="Times New Roman" w:eastAsia="Times New Roman" w:hAnsi="Times New Roman"/>
          <w:sz w:val="18"/>
          <w:szCs w:val="18"/>
          <w:u w:val="single" w:color="auto"/>
          <w:color w:val="0000EE"/>
        </w:rPr>
        <w:t>Opinion of Maples and Calder (Hong Kong) LLP regarding certain Cayman Island tax matters (included in Exhibit 5.1)</w:t>
      </w:r>
    </w:p>
    <w:p>
      <w:pPr>
        <w:spacing w:after="0" w:line="2" w:lineRule="exact"/>
        <w:rPr>
          <w:sz w:val="20"/>
          <w:szCs w:val="20"/>
          <w:color w:val="auto"/>
        </w:rPr>
      </w:pPr>
    </w:p>
    <w:p>
      <w:pPr>
        <w:ind w:right="919"/>
        <w:spacing w:after="0" w:line="273" w:lineRule="auto"/>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Opinion of Resource Law LLC (in alliance with Reed Smith) regarding certain Singapore tax</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gridSpan w:val="7"/>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Indemnification Agreement between the Registrant and its directors and executive officers</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71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Employment Agreement, between the Registrant and its executive officers</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7180" w:type="dxa"/>
            <w:vAlign w:val="bottom"/>
            <w:gridSpan w:val="7"/>
          </w:tcPr>
          <w:p>
            <w:pPr>
              <w:spacing w:after="0" w:line="202"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2023 Equity Incentive Plan</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71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Principal Subsidiaries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71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Consent of Marcum Asia CPAs LLP, Independent Registered Public Accounting Firm</w:t>
            </w:r>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23.2</w:t>
            </w:r>
          </w:p>
        </w:tc>
        <w:tc>
          <w:tcPr>
            <w:tcW w:w="71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5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23.3**</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20" w:lineRule="exact"/>
        <w:rPr>
          <w:sz w:val="20"/>
          <w:szCs w:val="20"/>
          <w:color w:val="auto"/>
        </w:rPr>
      </w:pPr>
      <w:r>
        <w:rPr>
          <w:sz w:val="20"/>
          <w:szCs w:val="20"/>
          <w:color w:val="auto"/>
        </w:rPr>
        <w:br w:type="column"/>
      </w:r>
    </w:p>
    <w:p>
      <w:pPr>
        <w:ind w:right="1379"/>
        <w:spacing w:after="0" w:line="318" w:lineRule="auto"/>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Consent of Resource Law LLC (in alliance with Reed Smith)(included in Exhibit 99.2)</w:t>
        </w:r>
      </w:hyperlink>
      <w:r>
        <w:rPr>
          <w:rFonts w:ascii="Times New Roman" w:cs="Times New Roman" w:eastAsia="Times New Roman" w:hAnsi="Times New Roman"/>
          <w:sz w:val="18"/>
          <w:szCs w:val="18"/>
          <w:u w:val="single" w:color="auto"/>
          <w:color w:val="0000EE"/>
        </w:rPr>
        <w:t xml:space="preserve"> </w:t>
      </w:r>
      <w:hyperlink r:id="rId266">
        <w:r>
          <w:rPr>
            <w:rFonts w:ascii="Times New Roman" w:cs="Times New Roman" w:eastAsia="Times New Roman" w:hAnsi="Times New Roman"/>
            <w:sz w:val="18"/>
            <w:szCs w:val="18"/>
            <w:u w:val="single" w:color="auto"/>
            <w:color w:val="0000EE"/>
          </w:rPr>
          <w:t>Powers of Attorney (included on signature page)</w:t>
        </w:r>
      </w:hyperlink>
      <w:r>
        <w:rPr>
          <w:rFonts w:ascii="Times New Roman" w:cs="Times New Roman" w:eastAsia="Times New Roman" w:hAnsi="Times New Roman"/>
          <w:sz w:val="18"/>
          <w:szCs w:val="18"/>
          <w:u w:val="single" w:color="auto"/>
          <w:color w:val="0000EE"/>
        </w:rPr>
        <w:t xml:space="preserve"> </w:t>
      </w:r>
      <w:hyperlink r:id="rId267">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-587375</wp:posOffset>
            </wp:positionH>
            <wp:positionV relativeFrom="paragraph">
              <wp:posOffset>-347345</wp:posOffset>
            </wp:positionV>
            <wp:extent cx="514350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879"/>
        <w:spacing w:after="0" w:line="273" w:lineRule="auto"/>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Opinion of Resource Law LLC (in alliance with Reed Smith) regarding certain Singapore law</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1"/>
        </w:trPr>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2"/>
              </w:rPr>
              <w:t>99.3**</w:t>
            </w:r>
          </w:p>
        </w:tc>
        <w:tc>
          <w:tcPr>
            <w:tcW w:w="7180" w:type="dxa"/>
            <w:vAlign w:val="bottom"/>
            <w:gridSpan w:val="6"/>
          </w:tcPr>
          <w:p>
            <w:pPr>
              <w:spacing w:after="0"/>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Consent of Frost &amp; Sullivan</w:t>
              </w:r>
            </w:hyperlink>
          </w:p>
        </w:tc>
      </w:tr>
      <w:tr>
        <w:trPr>
          <w:trHeight w:val="61"/>
        </w:trPr>
        <w:tc>
          <w:tcPr>
            <w:tcW w:w="92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78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2"/>
              </w:rPr>
              <w:t>99.4**</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Consent of Poh Kiong Tan</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2"/>
              </w:rPr>
              <w:t>99.5**</w:t>
            </w:r>
          </w:p>
        </w:tc>
        <w:tc>
          <w:tcPr>
            <w:tcW w:w="7180" w:type="dxa"/>
            <w:vAlign w:val="bottom"/>
            <w:gridSpan w:val="6"/>
          </w:tcPr>
          <w:p>
            <w:pPr>
              <w:spacing w:after="0" w:line="202"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Consent of How Teck Lim</w:t>
              </w:r>
            </w:hyperlink>
          </w:p>
        </w:tc>
      </w:tr>
      <w:tr>
        <w:trPr>
          <w:trHeight w:val="61"/>
        </w:trPr>
        <w:tc>
          <w:tcPr>
            <w:tcW w:w="92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78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2"/>
              </w:rPr>
              <w:t>99.6**</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Consent of Noi Keng Koh</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2"/>
              </w:rPr>
              <w:t>99.7**</w:t>
            </w:r>
          </w:p>
        </w:tc>
        <w:tc>
          <w:tcPr>
            <w:tcW w:w="7180" w:type="dxa"/>
            <w:vAlign w:val="bottom"/>
            <w:gridSpan w:val="6"/>
          </w:tcPr>
          <w:p>
            <w:pPr>
              <w:spacing w:after="0" w:line="202"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Consent of Chwee Koh Chua</w:t>
              </w:r>
            </w:hyperlink>
          </w:p>
        </w:tc>
      </w:tr>
      <w:tr>
        <w:trPr>
          <w:trHeight w:val="61"/>
        </w:trPr>
        <w:tc>
          <w:tcPr>
            <w:tcW w:w="920" w:type="dxa"/>
            <w:vAlign w:val="bottom"/>
          </w:tcPr>
          <w:p>
            <w:pPr>
              <w:spacing w:after="0"/>
              <w:rPr>
                <w:sz w:val="5"/>
                <w:szCs w:val="5"/>
                <w:color w:val="auto"/>
              </w:rPr>
            </w:pPr>
          </w:p>
        </w:tc>
        <w:tc>
          <w:tcPr>
            <w:tcW w:w="18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c>
          <w:tcPr>
            <w:tcW w:w="3780" w:type="dxa"/>
            <w:vAlign w:val="bottom"/>
          </w:tcPr>
          <w:p>
            <w:pPr>
              <w:spacing w:after="0"/>
              <w:rPr>
                <w:sz w:val="5"/>
                <w:szCs w:val="5"/>
                <w:color w:val="auto"/>
              </w:rPr>
            </w:pPr>
          </w:p>
        </w:tc>
      </w:tr>
      <w:tr>
        <w:trPr>
          <w:trHeight w:val="203"/>
        </w:trPr>
        <w:tc>
          <w:tcPr>
            <w:tcW w:w="920" w:type="dxa"/>
            <w:vAlign w:val="bottom"/>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2"/>
              </w:rPr>
              <w:t>99.8**</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Representation Under Item 8.A.4 of Form 20-F</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300" w:type="dxa"/>
            <w:vAlign w:val="bottom"/>
            <w:tcBorders>
              <w:top w:val="single" w:sz="8" w:color="0000EE"/>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r>
    </w:tbl>
    <w:p>
      <w:pPr>
        <w:spacing w:after="0" w:line="9" w:lineRule="exact"/>
        <w:rPr>
          <w:sz w:val="20"/>
          <w:szCs w:val="20"/>
          <w:color w:val="auto"/>
        </w:rPr>
      </w:pPr>
    </w:p>
    <w:p>
      <w:pPr>
        <w:ind w:left="1380" w:hanging="926"/>
        <w:spacing w:after="0"/>
        <w:tabs>
          <w:tab w:leader="none" w:pos="13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February 7, 2024.</w:t>
      </w:r>
    </w:p>
    <w:p>
      <w:pPr>
        <w:spacing w:after="0" w:line="2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51435</wp:posOffset>
            </wp:positionV>
            <wp:extent cx="22459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II-5</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February 7, 2024.</w:t>
      </w:r>
    </w:p>
    <w:p>
      <w:pPr>
        <w:spacing w:after="0" w:line="2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51435</wp:posOffset>
            </wp:positionV>
            <wp:extent cx="16198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080135" cy="10198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108013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February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and/or Madams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acted as Cayman Islands legal advisers to Trident Digital Tech Holdings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F-1,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U.S. Securities Act of 1933, as amended to date, relating to the offering by the Company and the sale by the selling shareholders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of certain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the Company’s class B ordinary shares of par value US$0.00001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8.1 and 23.2 to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1.1 The certificate of incorporation dated 12 June 2023 and the memorandum and articles of association of the Company registered on 12 June 2023 (the “</w:t>
      </w:r>
      <w:r>
        <w:rPr>
          <w:rFonts w:ascii="Times New Roman" w:cs="Times New Roman" w:eastAsia="Times New Roman" w:hAnsi="Times New Roman"/>
          <w:sz w:val="18"/>
          <w:szCs w:val="18"/>
          <w:b w:val="1"/>
          <w:bCs w:val="1"/>
          <w:color w:val="auto"/>
        </w:rPr>
        <w:t>Pre-IPO Memorandum and Articles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1.2 The amended and restated memorandum and articles of association of the Company adopted by a special resolution passed on 29 September 2023 and effective immediately prior to the completion of the Company’s initial public offering of ADSs representing its Shares (the “</w:t>
      </w:r>
      <w:r>
        <w:rPr>
          <w:rFonts w:ascii="Times New Roman" w:cs="Times New Roman" w:eastAsia="Times New Roman" w:hAnsi="Times New Roman"/>
          <w:sz w:val="18"/>
          <w:szCs w:val="18"/>
          <w:b w:val="1"/>
          <w:bCs w:val="1"/>
          <w:color w:val="auto"/>
        </w:rPr>
        <w:t>IPO 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The written resolutions of the sole director of the Company dated 29 September 2023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The written resolutions of the shareholders of the Company dated 29 September 2023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1.5 A certificate from a director of the Company, a copy of which is attached hereto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1.6 A certificate of good standing dated 1 February 2023, issued by the Registrar of Companies in the Cayman Islands (the “</w:t>
      </w:r>
      <w:r>
        <w:rPr>
          <w:rFonts w:ascii="Times New Roman" w:cs="Times New Roman" w:eastAsia="Times New Roman" w:hAnsi="Times New Roman"/>
          <w:sz w:val="18"/>
          <w:szCs w:val="18"/>
          <w:b w:val="1"/>
          <w:bCs w:val="1"/>
          <w:color w:val="auto"/>
        </w:rPr>
        <w:t>Certificate of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Standing</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Assumptions</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Copies of documents, conformed copies or drafts of documents provided to us are true and complete copies of, or in the final forms of, the originals.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All signatures, initials and seals are genuine.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There is nothing under any law (other than the law of the Cayman Islands), which would or might affect the opinions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Opinion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3.1 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3.2 The authorised share capital of the Company, with effect immediately prior to the completion of the Company’s initial public offering of the ADSs representing the Shares, will be US$50,000.00 divided into 5,000,000,000 shares of a par value of US$0.00001 each, comprising (i) 1,000,000,000 are designated as Class A Ordinary Shares of a par value of US$0.00001 each, (ii) 3,000,000,000 are designated as Class B Ordinary Shares of a par value of US$0.00001 each, and (iii) 1,000,000,000 shares of a par value of US$0.00001 each of such class or classes.</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3.3 The issue and allotment of the Shares by the Company have been duly authorised and when allotted, issued and paid for as contemplated in the Registration Statement, the Shares will be legally issued and allotted, fully paid and non-assessable. As a matter of Cayman law, a share is only issued when it has been entered in the register of members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The issue and allotment of the Shares to be sold by the Selling Shareholders as contemplated in the Registration Statement have been duly authorised.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legally issued and allotted and (assuming the purchase price therefor has been paid in full) fully paid and non-assessable.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3.5 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4 Qualifications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this opinion the phrase “non-assessable” means, with respect to shares in the Company, that a shareholder shall not, solely by virtue of its status as a shareholder, be liable for additional assessments or calls on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Trident Digital Tech Holdings Ltd on the Amendment No. 4 to Form F-1 (File No. 333-274857)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240"/>
          </w:cols>
          <w:pgMar w:left="320" w:top="35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 Newly Registered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6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Security Class Title</w:t>
            </w:r>
            <w:r>
              <w:rPr>
                <w:rFonts w:ascii="Times New Roman" w:cs="Times New Roman" w:eastAsia="Times New Roman" w:hAnsi="Times New Roman"/>
                <w:sz w:val="23"/>
                <w:szCs w:val="23"/>
                <w:b w:val="1"/>
                <w:bCs w:val="1"/>
                <w:color w:val="auto"/>
                <w:w w:val="99"/>
                <w:vertAlign w:val="superscript"/>
              </w:rPr>
              <w:t>(1)</w:t>
            </w: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40" w:type="dxa"/>
            <w:vAlign w:val="bottom"/>
            <w:gridSpan w:val="2"/>
            <w:vMerge w:val="continue"/>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5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Fees to Be Paid</w:t>
            </w:r>
          </w:p>
        </w:tc>
        <w:tc>
          <w:tcPr>
            <w:tcW w:w="7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EFF"/>
          </w:tcPr>
          <w:p>
            <w:pPr>
              <w:spacing w:after="0"/>
              <w:rPr>
                <w:sz w:val="10"/>
                <w:szCs w:val="10"/>
                <w:color w:val="auto"/>
              </w:rPr>
            </w:pPr>
          </w:p>
        </w:tc>
        <w:tc>
          <w:tcPr>
            <w:tcW w:w="22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Class B ordinary shares, par value</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8"/>
              </w:rPr>
              <w:t>Rule</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14,400,000</w:t>
            </w:r>
          </w:p>
        </w:tc>
        <w:tc>
          <w:tcPr>
            <w:tcW w:w="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US$</w:t>
            </w: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0.875</w:t>
            </w:r>
          </w:p>
        </w:tc>
        <w:tc>
          <w:tcPr>
            <w:tcW w:w="1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US$ 12,600,000.00</w:t>
            </w:r>
            <w:r>
              <w:rPr>
                <w:rFonts w:ascii="Times New Roman" w:cs="Times New Roman" w:eastAsia="Times New Roman" w:hAnsi="Times New Roman"/>
                <w:sz w:val="23"/>
                <w:szCs w:val="23"/>
                <w:color w:val="auto"/>
                <w:vertAlign w:val="superscript"/>
              </w:rPr>
              <w:t>(2)(3)</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0.0001476</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1859.76</w:t>
            </w:r>
          </w:p>
        </w:tc>
        <w:tc>
          <w:tcPr>
            <w:tcW w:w="0" w:type="dxa"/>
            <w:vAlign w:val="bottom"/>
          </w:tcPr>
          <w:p>
            <w:pPr>
              <w:spacing w:after="0"/>
              <w:rPr>
                <w:sz w:val="1"/>
                <w:szCs w:val="1"/>
                <w:color w:val="auto"/>
              </w:rPr>
            </w:pPr>
          </w:p>
        </w:tc>
      </w:tr>
      <w:tr>
        <w:trPr>
          <w:trHeight w:val="171"/>
        </w:trPr>
        <w:tc>
          <w:tcPr>
            <w:tcW w:w="1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US$0.00001 per share</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457(o)</w:t>
            </w:r>
          </w:p>
        </w:tc>
        <w:tc>
          <w:tcPr>
            <w:tcW w:w="94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Fees to Be Paid</w:t>
            </w:r>
          </w:p>
        </w:tc>
        <w:tc>
          <w:tcPr>
            <w:tcW w:w="94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2400" w:type="dxa"/>
            <w:vAlign w:val="bottom"/>
            <w:gridSpan w:val="3"/>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Class B ordinary shares, par value</w:t>
            </w:r>
          </w:p>
        </w:tc>
        <w:tc>
          <w:tcPr>
            <w:tcW w:w="9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w w:val="98"/>
              </w:rPr>
              <w:t>Rule</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25,000,000</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0.875</w:t>
            </w: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US$ 21,875,000.00</w:t>
            </w:r>
            <w:r>
              <w:rPr>
                <w:rFonts w:ascii="Times New Roman" w:cs="Times New Roman" w:eastAsia="Times New Roman" w:hAnsi="Times New Roman"/>
                <w:sz w:val="23"/>
                <w:szCs w:val="23"/>
                <w:color w:val="auto"/>
                <w:vertAlign w:val="superscript"/>
              </w:rPr>
              <w:t>(2)(3)(4)</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0.0001476</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3228.75</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US$0.00001 per share</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457(o)</w:t>
            </w:r>
          </w:p>
        </w:tc>
        <w:tc>
          <w:tcPr>
            <w:tcW w:w="9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34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Fees Previously</w:t>
            </w:r>
          </w:p>
        </w:tc>
        <w:tc>
          <w:tcPr>
            <w:tcW w:w="940" w:type="dxa"/>
            <w:vAlign w:val="bottom"/>
            <w:gridSpan w:val="2"/>
            <w:shd w:val="clear" w:color="auto" w:fill="CCEEFF"/>
          </w:tcPr>
          <w:p>
            <w:pPr>
              <w:jc w:val="center"/>
              <w:ind w:right="160"/>
              <w:spacing w:after="0" w:line="124" w:lineRule="exact"/>
              <w:rPr>
                <w:sz w:val="20"/>
                <w:szCs w:val="20"/>
                <w:color w:val="auto"/>
              </w:rPr>
            </w:pPr>
            <w:r>
              <w:rPr>
                <w:rFonts w:ascii="Times New Roman" w:cs="Times New Roman" w:eastAsia="Times New Roman" w:hAnsi="Times New Roman"/>
                <w:sz w:val="14"/>
                <w:szCs w:val="14"/>
                <w:color w:val="auto"/>
              </w:rPr>
              <w:t>Equity</w:t>
            </w:r>
          </w:p>
        </w:tc>
        <w:tc>
          <w:tcPr>
            <w:tcW w:w="2400" w:type="dxa"/>
            <w:vAlign w:val="bottom"/>
            <w:gridSpan w:val="3"/>
            <w:shd w:val="clear" w:color="auto" w:fill="CCEEFF"/>
          </w:tcPr>
          <w:p>
            <w:pPr>
              <w:jc w:val="center"/>
              <w:ind w:right="200"/>
              <w:spacing w:after="0" w:line="124" w:lineRule="exact"/>
              <w:rPr>
                <w:sz w:val="20"/>
                <w:szCs w:val="20"/>
                <w:color w:val="auto"/>
              </w:rPr>
            </w:pPr>
            <w:r>
              <w:rPr>
                <w:rFonts w:ascii="Times New Roman" w:cs="Times New Roman" w:eastAsia="Times New Roman" w:hAnsi="Times New Roman"/>
                <w:sz w:val="14"/>
                <w:szCs w:val="14"/>
                <w:color w:val="auto"/>
              </w:rPr>
              <w:t>Class B ordinary shares, par value</w:t>
            </w: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US$0.00001 per share</w:t>
            </w: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7,380.00</w:t>
            </w:r>
          </w:p>
        </w:tc>
        <w:tc>
          <w:tcPr>
            <w:tcW w:w="0" w:type="dxa"/>
            <w:vAlign w:val="bottom"/>
          </w:tcPr>
          <w:p>
            <w:pPr>
              <w:spacing w:after="0"/>
              <w:rPr>
                <w:sz w:val="1"/>
                <w:szCs w:val="1"/>
                <w:color w:val="auto"/>
              </w:rPr>
            </w:pPr>
          </w:p>
        </w:tc>
      </w:tr>
      <w:tr>
        <w:trPr>
          <w:trHeight w:val="143"/>
        </w:trPr>
        <w:tc>
          <w:tcPr>
            <w:tcW w:w="1340" w:type="dxa"/>
            <w:vAlign w:val="bottom"/>
            <w:tcBorders>
              <w:top w:val="single" w:sz="8" w:color="CCEEFF"/>
              <w:bottom w:val="single" w:sz="8" w:color="CCEEFF"/>
            </w:tcBorders>
          </w:tcPr>
          <w:p>
            <w:pPr>
              <w:spacing w:after="0"/>
              <w:rPr>
                <w:sz w:val="12"/>
                <w:szCs w:val="12"/>
                <w:color w:val="auto"/>
              </w:rPr>
            </w:pPr>
          </w:p>
        </w:tc>
        <w:tc>
          <w:tcPr>
            <w:tcW w:w="7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2400" w:type="dxa"/>
            <w:vAlign w:val="bottom"/>
            <w:tcBorders>
              <w:top w:val="single" w:sz="8" w:color="CCEEFF"/>
              <w:bottom w:val="single" w:sz="8" w:color="CCEEFF"/>
            </w:tcBorders>
            <w:gridSpan w:val="3"/>
          </w:tcPr>
          <w:p>
            <w:pPr>
              <w:jc w:val="center"/>
              <w:ind w:left="708"/>
              <w:spacing w:after="0" w:line="136" w:lineRule="exact"/>
              <w:rPr>
                <w:sz w:val="20"/>
                <w:szCs w:val="20"/>
                <w:color w:val="auto"/>
              </w:rPr>
            </w:pPr>
            <w:r>
              <w:rPr>
                <w:rFonts w:ascii="Times New Roman" w:cs="Times New Roman" w:eastAsia="Times New Roman" w:hAnsi="Times New Roman"/>
                <w:sz w:val="14"/>
                <w:szCs w:val="14"/>
                <w:b w:val="1"/>
                <w:bCs w:val="1"/>
                <w:color w:val="auto"/>
              </w:rPr>
              <w:t>Total Offering Amount</w:t>
            </w:r>
          </w:p>
        </w:tc>
        <w:tc>
          <w:tcPr>
            <w:tcW w:w="8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420" w:type="dxa"/>
            <w:vAlign w:val="bottom"/>
            <w:tcBorders>
              <w:top w:val="single" w:sz="8" w:color="CCEEFF"/>
              <w:bottom w:val="single" w:sz="8" w:color="CCEEFF"/>
            </w:tcBorders>
          </w:tcPr>
          <w:p>
            <w:pPr>
              <w:spacing w:after="0"/>
              <w:rPr>
                <w:sz w:val="12"/>
                <w:szCs w:val="12"/>
                <w:color w:val="auto"/>
              </w:rPr>
            </w:pPr>
          </w:p>
        </w:tc>
        <w:tc>
          <w:tcPr>
            <w:tcW w:w="48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1660" w:type="dxa"/>
            <w:vAlign w:val="bottom"/>
            <w:tcBorders>
              <w:top w:val="single" w:sz="8" w:color="CCEEFF"/>
              <w:bottom w:val="single" w:sz="8" w:color="CCEEFF"/>
            </w:tcBorders>
            <w:gridSpan w:val="2"/>
          </w:tcPr>
          <w:p>
            <w:pPr>
              <w:jc w:val="center"/>
              <w:ind w:right="520"/>
              <w:spacing w:after="0" w:line="136" w:lineRule="exact"/>
              <w:rPr>
                <w:sz w:val="20"/>
                <w:szCs w:val="20"/>
                <w:color w:val="auto"/>
              </w:rPr>
            </w:pPr>
            <w:r>
              <w:rPr>
                <w:rFonts w:ascii="Times New Roman" w:cs="Times New Roman" w:eastAsia="Times New Roman" w:hAnsi="Times New Roman"/>
                <w:sz w:val="14"/>
                <w:szCs w:val="14"/>
                <w:color w:val="auto"/>
              </w:rPr>
              <w:t>US$ 34,475,000.00</w:t>
            </w:r>
          </w:p>
        </w:tc>
        <w:tc>
          <w:tcPr>
            <w:tcW w:w="76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5088.51</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gridSpan w:val="3"/>
            <w:shd w:val="clear" w:color="auto" w:fill="CCEEFF"/>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8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7,380.00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gridSpan w:val="3"/>
          </w:tcPr>
          <w:p>
            <w:pPr>
              <w:jc w:val="center"/>
              <w:ind w:left="688"/>
              <w:spacing w:after="0" w:line="136"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400" w:type="dxa"/>
            <w:vAlign w:val="bottom"/>
            <w:tcBorders>
              <w:bottom w:val="single" w:sz="8" w:color="CCEEFF"/>
            </w:tcBorders>
            <w:gridSpan w:val="3"/>
            <w:shd w:val="clear" w:color="auto" w:fill="CCEEFF"/>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8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80" w:hanging="332"/>
        <w:spacing w:after="0" w:line="282"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issuable upon deposit of Class B ordinary shares registered hereby have been registered under a separate registration statement on Form F-6 (Registration No. 333-275089). Each American depositary share represents eight Class B ordinary shares.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Class B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B ordinary shares are not being registered for the purpose of sales outside the United States.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in accordance with Rule 457(o) under the Securities Act of 1933.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resale by the Selling Shareholder set forth herein of up to 25,000,000 Class B ordinary shares.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1)"/>
      <w:numFmt w:val="decimal"/>
      <w:start w:val="1"/>
    </w:lvl>
  </w:abstractNum>
  <w:abstractNum w:abstractNumId="29">
    <w:nsid w:val="73A1821B"/>
    <w:multiLevelType w:val="hybridMultilevel"/>
    <w:lvl w:ilvl="0">
      <w:lvlJc w:val="left"/>
      <w:lvlText w:val="(%1)"/>
      <w:numFmt w:val="decimal"/>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1)"/>
      <w:numFmt w:val="lowerLetter"/>
      <w:start w:val="1"/>
    </w:lvl>
  </w:abstractNum>
  <w:abstractNum w:abstractNumId="34">
    <w:nsid w:val="6A3DD3E8"/>
    <w:multiLevelType w:val="hybridMultilevel"/>
    <w:lvl w:ilvl="0">
      <w:lvlJc w:val="left"/>
      <w:lvlText w:val="(%1)"/>
      <w:numFmt w:val="lowerRoman"/>
      <w:start w:val="3"/>
    </w:lvl>
  </w:abstractNum>
  <w:abstractNum w:abstractNumId="35">
    <w:nsid w:val="71C91298"/>
    <w:multiLevelType w:val="hybridMultilevel"/>
    <w:lvl w:ilvl="0">
      <w:lvlJc w:val="left"/>
      <w:lvlText w:val="(%1)"/>
      <w:numFmt w:val="lowerRoman"/>
      <w:start w:val="1"/>
    </w:lvl>
  </w:abstractNum>
  <w:abstractNum w:abstractNumId="36">
    <w:nsid w:val="9DAF632"/>
    <w:multiLevelType w:val="hybridMultilevel"/>
    <w:lvl w:ilvl="0">
      <w:lvlJc w:val="left"/>
      <w:lvlText w:val="(%1)"/>
      <w:numFmt w:val="lowerRoman"/>
      <w:start w:val="2"/>
    </w:lvl>
  </w:abstractNum>
  <w:abstractNum w:abstractNumId="37">
    <w:nsid w:val="53299938"/>
    <w:multiLevelType w:val="hybridMultilevel"/>
    <w:lvl w:ilvl="0">
      <w:lvlJc w:val="left"/>
      <w:lvlText w:val="(%1)"/>
      <w:numFmt w:val="lowerRoman"/>
      <w:start w:val="2"/>
    </w:lvl>
  </w:abstractNum>
  <w:abstractNum w:abstractNumId="38">
    <w:nsid w:val="1FBFE8E0"/>
    <w:multiLevelType w:val="hybridMultilevel"/>
    <w:lvl w:ilvl="0">
      <w:lvlJc w:val="left"/>
      <w:lvlText w:val="(%1)"/>
      <w:numFmt w:val="lowerRoman"/>
      <w:start w:val="2"/>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1)"/>
      <w:numFmt w:val="lowerRoman"/>
      <w:start w:val="1"/>
    </w:lvl>
  </w:abstractNum>
  <w:abstractNum w:abstractNumId="51">
    <w:nsid w:val="23D86AAC"/>
    <w:multiLevelType w:val="hybridMultilevel"/>
    <w:lvl w:ilvl="0">
      <w:lvlJc w:val="left"/>
      <w:lvlText w:val="(%1)"/>
      <w:numFmt w:val="lowerRoman"/>
      <w:start w:val="10"/>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1)"/>
      <w:numFmt w:val="lowerRoman"/>
      <w:start w:val="6"/>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1)"/>
      <w:numFmt w:val="decimal"/>
      <w:start w:val="1"/>
    </w:lvl>
  </w:abstractNum>
  <w:abstractNum w:abstractNumId="64">
    <w:nsid w:val="4C9B0904"/>
    <w:multiLevelType w:val="hybridMultilevel"/>
    <w:lvl w:ilvl="0">
      <w:lvlJc w:val="left"/>
      <w:lvlText w:val="(%1)"/>
      <w:numFmt w:val="decimal"/>
      <w:start w:val="2"/>
    </w:lvl>
  </w:abstractNum>
  <w:abstractNum w:abstractNumId="65">
    <w:nsid w:val="6AA7B75C"/>
    <w:multiLevelType w:val="hybridMultilevel"/>
    <w:lvl w:ilvl="0">
      <w:lvlJc w:val="left"/>
      <w:lvlText w:val="(%1)"/>
      <w:numFmt w:val="lowerRoman"/>
      <w:start w:val="2"/>
    </w:lvl>
  </w:abstractNum>
  <w:abstractNum w:abstractNumId="66">
    <w:nsid w:val="1DF029D3"/>
    <w:multiLevelType w:val="hybridMultilevel"/>
    <w:lvl w:ilvl="0">
      <w:lvlJc w:val="left"/>
      <w:lvlText w:val="(%1)"/>
      <w:numFmt w:val="lowerRoman"/>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1)"/>
      <w:numFmt w:val="decimal"/>
      <w:start w:val="2"/>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1)"/>
      <w:numFmt w:val="lowerRoman"/>
      <w:start w:val="2"/>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1)"/>
      <w:numFmt w:val="lowerLetter"/>
      <w:start w:val="1"/>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lowerLetter"/>
      <w:start w:val="2"/>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57D2F10E"/>
    <w:multiLevelType w:val="hybridMultilevel"/>
    <w:lvl w:ilvl="0">
      <w:lvlJc w:val="left"/>
      <w:lvlText w:val="\emdash "/>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lowerRoman"/>
      <w:start w:val="3"/>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1."/>
      <w:numFmt w:val="decimal"/>
      <w:start w:val="1"/>
    </w:lvl>
  </w:abstractNum>
  <w:abstractNum w:abstractNumId="107">
    <w:nsid w:val="7DFF9D09"/>
    <w:multiLevelType w:val="hybridMultilevel"/>
    <w:lvl w:ilvl="0">
      <w:lvlJc w:val="left"/>
      <w:lvlText w:val="%1."/>
      <w:numFmt w:val="decimal"/>
      <w:start w:val="2"/>
    </w:lvl>
    <w:lvl w:ilvl="1">
      <w:lvlJc w:val="left"/>
      <w:lvlText w:val="(%2)"/>
      <w:numFmt w:val="lowerLetter"/>
      <w:start w:val="1"/>
    </w:lvl>
  </w:abstractNum>
  <w:abstractNum w:abstractNumId="108">
    <w:nsid w:val="754342"/>
    <w:multiLevelType w:val="hybridMultilevel"/>
    <w:lvl w:ilvl="0">
      <w:lvlJc w:val="left"/>
      <w:lvlText w:val="%1."/>
      <w:numFmt w:val="decimal"/>
      <w:start w:val="2"/>
    </w:lvl>
  </w:abstractNum>
  <w:abstractNum w:abstractNumId="109">
    <w:nsid w:val="69E7F3E5"/>
    <w:multiLevelType w:val="hybridMultilevel"/>
    <w:lvl w:ilvl="0">
      <w:lvlJc w:val="left"/>
      <w:lvlText w:val="(%1)"/>
      <w:numFmt w:val="lowerLetter"/>
      <w:start w:val="3"/>
    </w:lvl>
  </w:abstractNum>
  <w:abstractNum w:abstractNumId="110">
    <w:nsid w:val="2A6DE806"/>
    <w:multiLevelType w:val="hybridMultilevel"/>
    <w:lvl w:ilvl="0">
      <w:lvlJc w:val="left"/>
      <w:lvlText w:val="(%1)"/>
      <w:numFmt w:val="lowerLetter"/>
      <w:start w:val="5"/>
    </w:lvl>
  </w:abstractNum>
  <w:abstractNum w:abstractNumId="111">
    <w:nsid w:val="1816F8C4"/>
    <w:multiLevelType w:val="hybridMultilevel"/>
    <w:lvl w:ilvl="0">
      <w:lvlJc w:val="left"/>
      <w:lvlText w:val="(%1)"/>
      <w:numFmt w:val="lowerLetter"/>
      <w:start w:val="6"/>
    </w:lvl>
  </w:abstractNum>
  <w:abstractNum w:abstractNumId="112">
    <w:nsid w:val="37DF2233"/>
    <w:multiLevelType w:val="hybridMultilevel"/>
    <w:lvl w:ilvl="0">
      <w:lvlJc w:val="left"/>
      <w:lvlText w:val="%1."/>
      <w:numFmt w:val="decimal"/>
      <w:start w:val="2"/>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1."/>
      <w:numFmt w:val="decimal"/>
      <w:start w:val="2"/>
    </w:lvl>
  </w:abstractNum>
  <w:abstractNum w:abstractNumId="115">
    <w:nsid w:val="61E74EA3"/>
    <w:multiLevelType w:val="hybridMultilevel"/>
    <w:lvl w:ilvl="0">
      <w:lvlJc w:val="left"/>
      <w:lvlText w:val="(%1)"/>
      <w:numFmt w:val="lowerRoman"/>
      <w:start w:val="1"/>
    </w:lvl>
  </w:abstractNum>
  <w:abstractNum w:abstractNumId="116">
    <w:nsid w:val="597B4D84"/>
    <w:multiLevelType w:val="hybridMultilevel"/>
    <w:lvl w:ilvl="0">
      <w:lvlJc w:val="left"/>
      <w:lvlText w:val="%1."/>
      <w:numFmt w:val="decimal"/>
      <w:start w:val="2"/>
    </w:lvl>
  </w:abstractNum>
  <w:abstractNum w:abstractNumId="117">
    <w:nsid w:val="F819E7F"/>
    <w:multiLevelType w:val="hybridMultilevel"/>
    <w:lvl w:ilvl="0">
      <w:lvlJc w:val="left"/>
      <w:lvlText w:val="%1."/>
      <w:numFmt w:val="decimal"/>
      <w:start w:val="2"/>
    </w:lvl>
  </w:abstractNum>
  <w:abstractNum w:abstractNumId="118">
    <w:nsid w:val="57C7D42D"/>
    <w:multiLevelType w:val="hybridMultilevel"/>
    <w:lvl w:ilvl="0">
      <w:lvlJc w:val="left"/>
      <w:lvlText w:val="(%1)"/>
      <w:numFmt w:val="lowerLetter"/>
      <w:start w:val="10"/>
    </w:lvl>
  </w:abstractNum>
  <w:abstractNum w:abstractNumId="119">
    <w:nsid w:val="312167AD"/>
    <w:multiLevelType w:val="hybridMultilevel"/>
    <w:lvl w:ilvl="0">
      <w:lvlJc w:val="left"/>
      <w:lvlText w:val="%1."/>
      <w:numFmt w:val="decimal"/>
      <w:start w:val="2"/>
    </w:lvl>
  </w:abstractNum>
  <w:abstractNum w:abstractNumId="120">
    <w:nsid w:val="631B64D4"/>
    <w:multiLevelType w:val="hybridMultilevel"/>
    <w:lvl w:ilvl="0">
      <w:lvlJc w:val="left"/>
      <w:lvlText w:val="(%1)"/>
      <w:numFmt w:val="lowerLetter"/>
      <w:start w:val="12"/>
    </w:lvl>
  </w:abstractNum>
  <w:abstractNum w:abstractNumId="121">
    <w:nsid w:val="78B5E776"/>
    <w:multiLevelType w:val="hybridMultilevel"/>
    <w:lvl w:ilvl="0">
      <w:lvlJc w:val="left"/>
      <w:lvlText w:val="%1."/>
      <w:numFmt w:val="decimal"/>
      <w:start w:val="2"/>
    </w:lvl>
  </w:abstractNum>
  <w:abstractNum w:abstractNumId="122">
    <w:nsid w:val="75486E47"/>
    <w:multiLevelType w:val="hybridMultilevel"/>
    <w:lvl w:ilvl="0">
      <w:lvlJc w:val="left"/>
      <w:lvlText w:val="(%1)"/>
      <w:numFmt w:val="lowerLetter"/>
      <w:start w:val="18"/>
    </w:lvl>
  </w:abstractNum>
  <w:abstractNum w:abstractNumId="123">
    <w:nsid w:val="6E534CDE"/>
    <w:multiLevelType w:val="hybridMultilevel"/>
    <w:lvl w:ilvl="0">
      <w:lvlJc w:val="left"/>
      <w:lvlText w:val="(%1)"/>
      <w:numFmt w:val="lowerLetter"/>
      <w:start w:val="19"/>
    </w:lvl>
  </w:abstractNum>
  <w:abstractNum w:abstractNumId="124">
    <w:nsid w:val="1A0DDE32"/>
    <w:multiLevelType w:val="hybridMultilevel"/>
    <w:lvl w:ilvl="0">
      <w:lvlJc w:val="left"/>
      <w:lvlText w:val="%1."/>
      <w:numFmt w:val="decimal"/>
      <w:start w:val="2"/>
    </w:lvl>
  </w:abstractNum>
  <w:abstractNum w:abstractNumId="125">
    <w:nsid w:val="65968C1C"/>
    <w:multiLevelType w:val="hybridMultilevel"/>
    <w:lvl w:ilvl="0">
      <w:lvlJc w:val="left"/>
      <w:lvlText w:val="%1."/>
      <w:numFmt w:val="decimal"/>
      <w:start w:val="3"/>
    </w:lvl>
  </w:abstractNum>
  <w:abstractNum w:abstractNumId="126">
    <w:nsid w:val="46263DEC"/>
    <w:multiLevelType w:val="hybridMultilevel"/>
    <w:lvl w:ilvl="0">
      <w:lvlJc w:val="left"/>
      <w:lvlText w:val="%1."/>
      <w:numFmt w:val="decimal"/>
      <w:start w:val="4"/>
    </w:lvl>
  </w:abstractNum>
  <w:abstractNum w:abstractNumId="127">
    <w:nsid w:val="260D8C4A"/>
    <w:multiLevelType w:val="hybridMultilevel"/>
    <w:lvl w:ilvl="0">
      <w:lvlJc w:val="left"/>
      <w:lvlText w:val="%1."/>
      <w:numFmt w:val="decimal"/>
      <w:start w:val="5"/>
    </w:lvl>
  </w:abstractNum>
  <w:abstractNum w:abstractNumId="128">
    <w:nsid w:val="73D4D3C4"/>
    <w:multiLevelType w:val="hybridMultilevel"/>
    <w:lvl w:ilvl="0">
      <w:lvlJc w:val="left"/>
      <w:lvlText w:val="%1."/>
      <w:numFmt w:val="decimal"/>
      <w:start w:val="6"/>
    </w:lvl>
  </w:abstractNum>
  <w:abstractNum w:abstractNumId="129">
    <w:nsid w:val="746F2E30"/>
    <w:multiLevelType w:val="hybridMultilevel"/>
    <w:lvl w:ilvl="0">
      <w:lvlJc w:val="left"/>
      <w:lvlText w:val="(%1)"/>
      <w:numFmt w:val="decimal"/>
      <w:start w:val="1"/>
    </w:lvl>
  </w:abstractNum>
  <w:abstractNum w:abstractNumId="130">
    <w:nsid w:val="6FDE8AF6"/>
    <w:multiLevelType w:val="hybridMultilevel"/>
    <w:lvl w:ilvl="0">
      <w:lvlJc w:val="left"/>
      <w:lvlText w:val="%1."/>
      <w:numFmt w:val="decimal"/>
      <w:start w:val="7"/>
    </w:lvl>
  </w:abstractNum>
  <w:abstractNum w:abstractNumId="131">
    <w:nsid w:val="3FC32E20"/>
    <w:multiLevelType w:val="hybridMultilevel"/>
    <w:lvl w:ilvl="0">
      <w:lvlJc w:val="left"/>
      <w:lvlText w:val="%1."/>
      <w:numFmt w:val="decimal"/>
      <w:start w:val="8"/>
    </w:lvl>
  </w:abstractNum>
  <w:abstractNum w:abstractNumId="132">
    <w:nsid w:val="49C0E823"/>
    <w:multiLevelType w:val="hybridMultilevel"/>
    <w:lvl w:ilvl="0">
      <w:lvlJc w:val="left"/>
      <w:lvlText w:val="%1."/>
      <w:numFmt w:val="decimal"/>
      <w:start w:val="8"/>
    </w:lvl>
  </w:abstractNum>
  <w:abstractNum w:abstractNumId="133">
    <w:nsid w:val="14D53685"/>
    <w:multiLevelType w:val="hybridMultilevel"/>
    <w:lvl w:ilvl="0">
      <w:lvlJc w:val="left"/>
      <w:lvlText w:val="%1."/>
      <w:numFmt w:val="decimal"/>
      <w:start w:val="9"/>
    </w:lvl>
  </w:abstractNum>
  <w:abstractNum w:abstractNumId="134">
    <w:nsid w:val="230F856C"/>
    <w:multiLevelType w:val="hybridMultilevel"/>
    <w:lvl w:ilvl="0">
      <w:lvlJc w:val="left"/>
      <w:lvlText w:val="%1."/>
      <w:numFmt w:val="decimal"/>
      <w:start w:val="9"/>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1."/>
      <w:numFmt w:val="decimal"/>
      <w:start w:val="1"/>
    </w:lvl>
  </w:abstractNum>
  <w:abstractNum w:abstractNumId="143">
    <w:nsid w:val="5D205E20"/>
    <w:multiLevelType w:val="hybridMultilevel"/>
    <w:lvl w:ilvl="0">
      <w:lvlJc w:val="left"/>
      <w:lvlText w:val="%1."/>
      <w:numFmt w:val="decimal"/>
      <w:start w:val="2"/>
    </w:lvl>
    <w:lvl w:ilvl="1">
      <w:lvlJc w:val="left"/>
      <w:lvlText w:val="(%2)"/>
      <w:numFmt w:val="lowerLetter"/>
      <w:start w:val="1"/>
    </w:lvl>
  </w:abstractNum>
  <w:abstractNum w:abstractNumId="144">
    <w:nsid w:val="11CCA8BA"/>
    <w:multiLevelType w:val="hybridMultilevel"/>
    <w:lvl w:ilvl="0">
      <w:lvlJc w:val="left"/>
      <w:lvlText w:val="%1."/>
      <w:numFmt w:val="decimal"/>
      <w:start w:val="2"/>
    </w:lvl>
  </w:abstractNum>
  <w:abstractNum w:abstractNumId="145">
    <w:nsid w:val="4D32AB86"/>
    <w:multiLevelType w:val="hybridMultilevel"/>
    <w:lvl w:ilvl="0">
      <w:lvlJc w:val="left"/>
      <w:lvlText w:val="(%1)"/>
      <w:numFmt w:val="lowerLetter"/>
      <w:start w:val="3"/>
    </w:lvl>
  </w:abstractNum>
  <w:abstractNum w:abstractNumId="146">
    <w:nsid w:val="3F07ACC3"/>
    <w:multiLevelType w:val="hybridMultilevel"/>
    <w:lvl w:ilvl="0">
      <w:lvlJc w:val="left"/>
      <w:lvlText w:val="%1."/>
      <w:numFmt w:val="decimal"/>
      <w:start w:val="2"/>
    </w:lvl>
  </w:abstractNum>
  <w:abstractNum w:abstractNumId="147">
    <w:nsid w:val="6B47F63E"/>
    <w:multiLevelType w:val="hybridMultilevel"/>
    <w:lvl w:ilvl="0">
      <w:lvlJc w:val="left"/>
      <w:lvlText w:val="%1."/>
      <w:numFmt w:val="decimal"/>
      <w:start w:val="2"/>
    </w:lvl>
  </w:abstractNum>
  <w:abstractNum w:abstractNumId="148">
    <w:nsid w:val="5CB44A05"/>
    <w:multiLevelType w:val="hybridMultilevel"/>
    <w:lvl w:ilvl="0">
      <w:lvlJc w:val="left"/>
      <w:lvlText w:val="(%1)"/>
      <w:numFmt w:val="lowerLetter"/>
      <w:start w:val="5"/>
    </w:lvl>
  </w:abstractNum>
  <w:abstractNum w:abstractNumId="149">
    <w:nsid w:val="16CF80F1"/>
    <w:multiLevelType w:val="hybridMultilevel"/>
    <w:lvl w:ilvl="0">
      <w:lvlJc w:val="left"/>
      <w:lvlText w:val="%1."/>
      <w:numFmt w:val="decimal"/>
      <w:start w:val="2"/>
    </w:lvl>
  </w:abstractNum>
  <w:abstractNum w:abstractNumId="150">
    <w:nsid w:val="1C695DEC"/>
    <w:multiLevelType w:val="hybridMultilevel"/>
    <w:lvl w:ilvl="0">
      <w:lvlJc w:val="left"/>
      <w:lvlText w:val="(%1)"/>
      <w:numFmt w:val="lowerLetter"/>
      <w:start w:val="6"/>
    </w:lvl>
  </w:abstractNum>
  <w:abstractNum w:abstractNumId="151">
    <w:nsid w:val="3FCFAED9"/>
    <w:multiLevelType w:val="hybridMultilevel"/>
    <w:lvl w:ilvl="0">
      <w:lvlJc w:val="left"/>
      <w:lvlText w:val="%1."/>
      <w:numFmt w:val="decimal"/>
      <w:start w:val="3"/>
    </w:lvl>
  </w:abstractNum>
  <w:abstractNum w:abstractNumId="152">
    <w:nsid w:val="F856867"/>
    <w:multiLevelType w:val="hybridMultilevel"/>
    <w:lvl w:ilvl="0">
      <w:lvlJc w:val="left"/>
      <w:lvlText w:val="%1."/>
      <w:numFmt w:val="decimal"/>
      <w:start w:val="4"/>
    </w:lvl>
  </w:abstractNum>
  <w:abstractNum w:abstractNumId="153">
    <w:nsid w:val="11B1CC33"/>
    <w:multiLevelType w:val="hybridMultilevel"/>
    <w:lvl w:ilvl="0">
      <w:lvlJc w:val="left"/>
      <w:lvlText w:val="%1."/>
      <w:numFmt w:val="decimal"/>
      <w:start w:val="5"/>
    </w:lvl>
  </w:abstractNum>
  <w:abstractNum w:abstractNumId="154">
    <w:nsid w:val="2E22FBB7"/>
    <w:multiLevelType w:val="hybridMultilevel"/>
    <w:lvl w:ilvl="0">
      <w:lvlJc w:val="left"/>
      <w:lvlText w:val="%1."/>
      <w:numFmt w:val="decimal"/>
      <w:start w:val="6"/>
    </w:lvl>
  </w:abstractNum>
  <w:abstractNum w:abstractNumId="155">
    <w:nsid w:val="29934699"/>
    <w:multiLevelType w:val="hybridMultilevel"/>
    <w:lvl w:ilvl="0">
      <w:lvlJc w:val="left"/>
      <w:lvlText w:val="(%1)"/>
      <w:numFmt w:val="decimal"/>
      <w:start w:val="1"/>
    </w:lvl>
  </w:abstractNum>
  <w:abstractNum w:abstractNumId="156">
    <w:nsid w:val="77485850"/>
    <w:multiLevelType w:val="hybridMultilevel"/>
    <w:lvl w:ilvl="0">
      <w:lvlJc w:val="left"/>
      <w:lvlText w:val="%1."/>
      <w:numFmt w:val="decimal"/>
      <w:start w:val="7"/>
    </w:lvl>
  </w:abstractNum>
  <w:abstractNum w:abstractNumId="157">
    <w:nsid w:val="744939A3"/>
    <w:multiLevelType w:val="hybridMultilevel"/>
    <w:lvl w:ilvl="0">
      <w:lvlJc w:val="left"/>
      <w:lvlText w:val="%1."/>
      <w:numFmt w:val="decimal"/>
      <w:start w:val="8"/>
    </w:lvl>
  </w:abstractNum>
  <w:abstractNum w:abstractNumId="158">
    <w:nsid w:val="4FA0D2E3"/>
    <w:multiLevelType w:val="hybridMultilevel"/>
    <w:lvl w:ilvl="0">
      <w:lvlJc w:val="left"/>
      <w:lvlText w:val="%1."/>
      <w:numFmt w:val="decimal"/>
      <w:start w:val="9"/>
    </w:lvl>
  </w:abstractNum>
  <w:abstractNum w:abstractNumId="159">
    <w:nsid w:val="6B1D2C14"/>
    <w:multiLevelType w:val="hybridMultilevel"/>
    <w:lvl w:ilvl="0">
      <w:lvlJc w:val="left"/>
      <w:lvlText w:val="%1."/>
      <w:numFmt w:val="decimal"/>
      <w:start w:val="9"/>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1)"/>
      <w:numFmt w:val="decimal"/>
      <w:start w:val="1"/>
    </w:lvl>
  </w:abstractNum>
  <w:abstractNum w:abstractNumId="162">
    <w:nsid w:val="2AE05A34"/>
    <w:multiLevelType w:val="hybridMultilevel"/>
    <w:lvl w:ilvl="0">
      <w:lvlJc w:val="left"/>
      <w:lvlText w:val="(%1)"/>
      <w:numFmt w:val="decimal"/>
      <w:start w:val="1"/>
    </w:lvl>
  </w:abstractNum>
  <w:abstractNum w:abstractNumId="163">
    <w:nsid w:val="32794FF7"/>
    <w:multiLevelType w:val="hybridMultilevel"/>
    <w:lvl w:ilvl="0">
      <w:lvlJc w:val="left"/>
      <w:lvlText w:val="(%1)"/>
      <w:numFmt w:val="decimal"/>
      <w:start w:val="1"/>
    </w:lvl>
  </w:abstractNum>
  <w:abstractNum w:abstractNumId="164">
    <w:nsid w:val="5454945E"/>
    <w:multiLevelType w:val="hybridMultilevel"/>
    <w:lvl w:ilvl="0">
      <w:lvlJc w:val="left"/>
      <w:lvlText w:val="(%1)"/>
      <w:numFmt w:val="decimal"/>
      <w:start w:val="1"/>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decimal"/>
      <w:start w:val="1"/>
    </w:lvl>
  </w:abstractNum>
  <w:abstractNum w:abstractNumId="169">
    <w:nsid w:val="DCDF8F6"/>
    <w:multiLevelType w:val="hybridMultilevel"/>
    <w:lvl w:ilvl="0">
      <w:lvlJc w:val="left"/>
      <w:lvlText w:val="(%1)"/>
      <w:numFmt w:val="lowerRoman"/>
      <w:start w:val="1"/>
    </w:lvl>
  </w:abstractNum>
  <w:abstractNum w:abstractNumId="170">
    <w:nsid w:val="52D7B105"/>
    <w:multiLevelType w:val="hybridMultilevel"/>
    <w:lvl w:ilvl="0">
      <w:lvlJc w:val="left"/>
      <w:lvlText w:val="%1"/>
      <w:numFmt w:val="decimal"/>
      <w:start w:val="107"/>
    </w:lvl>
  </w:abstractNum>
  <w:abstractNum w:abstractNumId="171">
    <w:nsid w:val="2E8A6394"/>
    <w:multiLevelType w:val="hybridMultilevel"/>
    <w:lvl w:ilvl="0">
      <w:lvlJc w:val="left"/>
      <w:lvlText w:val="**"/>
      <w:numFmt w:val="bullet"/>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2" Type="http://schemas.openxmlformats.org/officeDocument/2006/relationships/image" Target="media/image244.png"/><Relationship Id="rId255" Type="http://schemas.openxmlformats.org/officeDocument/2006/relationships/image" Target="media/image245.png"/><Relationship Id="rId257" Type="http://schemas.openxmlformats.org/officeDocument/2006/relationships/image" Target="media/image246.png"/><Relationship Id="rId259" Type="http://schemas.openxmlformats.org/officeDocument/2006/relationships/image" Target="media/image247.png"/><Relationship Id="rId261"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jpe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51" Type="http://schemas.openxmlformats.org/officeDocument/2006/relationships/hyperlink" Target="http://www.sec.gov/Archives/edgar/data/1983550/000121390024004651/ff12024a3ex1-1_trident.htm" TargetMode="External"/><Relationship Id="rId253" Type="http://schemas.openxmlformats.org/officeDocument/2006/relationships/hyperlink" Target="http://www.sec.gov/Archives/edgar/data/1983550/000101376223001433/ff12023ex3-1_trident.htm" TargetMode="External"/><Relationship Id="rId254" Type="http://schemas.openxmlformats.org/officeDocument/2006/relationships/hyperlink" Target="http://www.sec.gov/Archives/edgar/data/1983550/000101376223001433/ff12023ex3-2_trident.htm" TargetMode="External"/><Relationship Id="rId256" Type="http://schemas.openxmlformats.org/officeDocument/2006/relationships/hyperlink" Target="http://www.sec.gov/Archives/edgar/data/1983550/000101376223004960/ff12023a1ex4-3_trident.htm" TargetMode="External"/><Relationship Id="rId258" Type="http://schemas.openxmlformats.org/officeDocument/2006/relationships/hyperlink" Target="http://www.sec.gov/Archives/edgar/data/1983550/000101376223004960/ff12023a1ex4-2_trident.htm" TargetMode="External"/><Relationship Id="rId260" Type="http://schemas.openxmlformats.org/officeDocument/2006/relationships/hyperlink" Target="http://www.sec.gov/Archives/edgar/data/1983550/000101376223001433/ff12023ex99-2_trident.htm" TargetMode="External"/><Relationship Id="rId262" Type="http://schemas.openxmlformats.org/officeDocument/2006/relationships/hyperlink" Target="http://www.sec.gov/Archives/edgar/data/1983550/000101376223001433/ff12023ex10-1_trident.htm" TargetMode="External"/><Relationship Id="rId263" Type="http://schemas.openxmlformats.org/officeDocument/2006/relationships/hyperlink" Target="http://www.sec.gov/Archives/edgar/data/1983550/000101376223001433/ff12023ex10-2_trident.htm" TargetMode="External"/><Relationship Id="rId264" Type="http://schemas.openxmlformats.org/officeDocument/2006/relationships/hyperlink" Target="http://www.sec.gov/Archives/edgar/data/1983550/000101376223001433/ff12023ex10-3_trident.htm" TargetMode="External"/><Relationship Id="rId265" Type="http://schemas.openxmlformats.org/officeDocument/2006/relationships/hyperlink" Target="http://www.sec.gov/Archives/edgar/data/1983550/000101376223001433/ff12023ex21-1_trident.htm" TargetMode="External"/><Relationship Id="rId266" Type="http://schemas.openxmlformats.org/officeDocument/2006/relationships/hyperlink" Target="http://www.sec.gov/Archives/edgar/data/1983550/000101376223001433/ff12023_trident.htm#T7788" TargetMode="External"/><Relationship Id="rId267" Type="http://schemas.openxmlformats.org/officeDocument/2006/relationships/hyperlink" Target="http://www.sec.gov/Archives/edgar/data/1983550/000101376223001433/ff12023ex99-1_trident.htm" TargetMode="External"/><Relationship Id="rId270" Type="http://schemas.openxmlformats.org/officeDocument/2006/relationships/hyperlink" Target="http://www.sec.gov/Archives/edgar/data/1983550/000101376223001433/ff12023ex99-3_trident.htm" TargetMode="External"/><Relationship Id="rId271" Type="http://schemas.openxmlformats.org/officeDocument/2006/relationships/hyperlink" Target="http://www.sec.gov/Archives/edgar/data/1983550/000101376223001433/ff12023ex99-4_trident.htm" TargetMode="External"/><Relationship Id="rId272" Type="http://schemas.openxmlformats.org/officeDocument/2006/relationships/hyperlink" Target="http://www.sec.gov/Archives/edgar/data/1983550/000101376223001433/ff12023ex99-5_trident.htm" TargetMode="External"/><Relationship Id="rId273" Type="http://schemas.openxmlformats.org/officeDocument/2006/relationships/hyperlink" Target="http://www.sec.gov/Archives/edgar/data/1983550/000101376223001433/ff12023ex99-6_trident.htm" TargetMode="External"/><Relationship Id="rId274" Type="http://schemas.openxmlformats.org/officeDocument/2006/relationships/hyperlink" Target="http://www.sec.gov/Archives/edgar/data/1983550/000101376223001433/ff12023ex99-7_trident.htm" TargetMode="External"/><Relationship Id="rId275" Type="http://schemas.openxmlformats.org/officeDocument/2006/relationships/hyperlink" Target="http://www.sec.gov/Archives/edgar/data/1983550/000121390024004651/ff12024a3ex99-8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2024-02-07T05:35:49Z</dcterms:created>
  <dcterms:modified xsi:type="dcterms:W3CDTF">2024-02-07T05:35:49Z</dcterms:modified>
</cp:coreProperties>
</file>