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9, 2024.</w:t>
      </w:r>
    </w:p>
    <w:p>
      <w:pPr>
        <w:spacing w:after="0" w:line="50"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333-274857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4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Offices)</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Stephanie Tang, Esq.</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Ross David Carmel, Esq.</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Hogan Lovells</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Barry P. Biggar, Esq.</w:t>
            </w:r>
          </w:p>
        </w:tc>
      </w:tr>
      <w:tr>
        <w:trPr>
          <w:trHeight w:val="216"/>
        </w:trPr>
        <w:tc>
          <w:tcPr>
            <w:tcW w:w="29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b w:val="1"/>
                <w:bCs w:val="1"/>
                <w:color w:val="auto"/>
                <w:w w:val="97"/>
              </w:rPr>
              <w:t>11</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One Pacific Place</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Sichenzia Ross Ference Carmel LLP</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88 Queensway Road</w:t>
            </w:r>
          </w:p>
        </w:tc>
        <w:tc>
          <w:tcPr>
            <w:tcW w:w="3740" w:type="dxa"/>
            <w:vAlign w:val="bottom"/>
          </w:tcPr>
          <w:p>
            <w:pPr>
              <w:jc w:val="center"/>
              <w:ind w:left="670"/>
              <w:spacing w:after="0" w:line="216" w:lineRule="exact"/>
              <w:rPr>
                <w:sz w:val="20"/>
                <w:szCs w:val="20"/>
                <w:color w:val="auto"/>
              </w:rPr>
            </w:pPr>
            <w:r>
              <w:rPr>
                <w:rFonts w:ascii="Times New Roman" w:cs="Times New Roman" w:eastAsia="Times New Roman" w:hAnsi="Times New Roman"/>
                <w:sz w:val="18"/>
                <w:szCs w:val="18"/>
                <w:b w:val="1"/>
                <w:bCs w:val="1"/>
                <w:color w:val="auto"/>
                <w:w w:val="98"/>
              </w:rPr>
              <w:t>1185 Avenue of the Americas 31</w:t>
            </w:r>
            <w:r>
              <w:rPr>
                <w:rFonts w:ascii="Times New Roman" w:cs="Times New Roman" w:eastAsia="Times New Roman" w:hAnsi="Times New Roman"/>
                <w:sz w:val="20"/>
                <w:szCs w:val="20"/>
                <w:b w:val="1"/>
                <w:bCs w:val="1"/>
                <w:color w:val="auto"/>
                <w:w w:val="98"/>
                <w:vertAlign w:val="superscript"/>
              </w:rPr>
              <w:t>st</w:t>
            </w:r>
            <w:r>
              <w:rPr>
                <w:rFonts w:ascii="Times New Roman" w:cs="Times New Roman" w:eastAsia="Times New Roman" w:hAnsi="Times New Roman"/>
                <w:sz w:val="18"/>
                <w:szCs w:val="18"/>
                <w:b w:val="1"/>
                <w:bCs w:val="1"/>
                <w:color w:val="auto"/>
                <w:w w:val="98"/>
              </w:rPr>
              <w:t xml:space="preserve"> Floor</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r>
      <w:tr>
        <w:trPr>
          <w:trHeight w:val="238"/>
        </w:trPr>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+852 2219 0888</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+1 212 930 9700</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52" w:lineRule="exact"/>
        <w:rPr>
          <w:sz w:val="24"/>
          <w:szCs w:val="24"/>
          <w:color w:val="auto"/>
        </w:rPr>
      </w:pPr>
    </w:p>
    <w:p>
      <w:pPr>
        <w:ind w:left="460" w:right="679" w:firstLine="432"/>
        <w:spacing w:after="0" w:line="300"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ind w:left="460" w:right="71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460" w:right="63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9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1119" w:firstLine="432"/>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8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jc w:val="both"/>
        <w:ind w:left="460" w:right="799" w:firstLine="432"/>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55" w:lineRule="exact"/>
        <w:rPr>
          <w:sz w:val="24"/>
          <w:szCs w:val="24"/>
          <w:color w:val="auto"/>
        </w:rPr>
      </w:pPr>
    </w:p>
    <w:p>
      <w:pPr>
        <w:ind w:left="880" w:right="839" w:hanging="426"/>
        <w:spacing w:after="0" w:line="298" w:lineRule="auto"/>
        <w:tabs>
          <w:tab w:leader="none" w:pos="85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ind w:left="460" w:right="47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ectPr>
          <w:pgSz w:w="11900" w:h="16936" w:orient="portrait"/>
          <w:cols w:equalWidth="0" w:num="1">
            <w:col w:w="9019"/>
          </w:cols>
          <w:pgMar w:left="1440" w:top="333" w:right="1440" w:bottom="0" w:gutter="0" w:footer="0" w:header="0"/>
        </w:sectPr>
      </w:pPr>
    </w:p>
    <w:bookmarkStart w:id="1" w:name="page2"/>
    <w:bookmarkEnd w:id="1"/>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269240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311785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594995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F-1 (File No. 333-274857) contains disclosure that will be circulated as two separate final prospectuses, as set forth below.</w:t>
      </w:r>
    </w:p>
    <w:p>
      <w:pPr>
        <w:spacing w:after="0" w:line="94" w:lineRule="exact"/>
        <w:rPr>
          <w:sz w:val="20"/>
          <w:szCs w:val="20"/>
          <w:color w:val="auto"/>
        </w:rPr>
      </w:pPr>
    </w:p>
    <w:p>
      <w:pPr>
        <w:ind w:left="1320" w:right="57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prospectus. A prospectus (the “Public Offering Prospectus”) to be used for the public offering of 1,800,000 American depositary shares representing 14,400,000 Class B ordinary shares of the Registrant (the “Public Offering ADSs”) through the underwriter named on the cover page of the Public Offering Prospectus.</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5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prospectus. A prospectus (the “Resale Prospectus”) to be used for the offer and potential resale by the selling shareholder identified in this registration statement (the “Selling Shareholder”) of 3,125,000 American depositary shares representing 25,000,000 Class B ordinary shares of the Registrant (the “Shareholder ADSs”). The Selling Shareholder owns Class B ordinary shares of the Registrant prior to this offering, which will be converted into Shareholder ADSs effective immediately prior to the effective time of this registration statement.</w:t>
      </w:r>
    </w:p>
    <w:p>
      <w:pPr>
        <w:spacing w:after="0" w:line="106"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The Resale Prospectus is substantively identical to the Public Offering Prospectus, except for the following principal points:</w:t>
      </w:r>
    </w:p>
    <w:p>
      <w:pPr>
        <w:spacing w:after="0" w:line="94" w:lineRule="exact"/>
        <w:rPr>
          <w:sz w:val="20"/>
          <w:szCs w:val="20"/>
          <w:color w:val="auto"/>
        </w:rPr>
      </w:pPr>
    </w:p>
    <w:p>
      <w:pPr>
        <w:ind w:left="1320" w:right="65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outside and inside front covers and back cover pages; among other things, the identification of the underwriter and related compensation for the Public Offering ADSs will only be included in the Public Offering Prospectus and the Shareholder ADSs will be listed on the outside and inside front covers of the Resale Prospectus without identification of the underwriter and related compensation information;</w:t>
      </w:r>
    </w:p>
    <w:p>
      <w:pPr>
        <w:spacing w:after="0" w:line="115"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“Offering” sections in the Prospectus Summary section relating to the offering of the Public Offering ADSs and the Shareholder ADSs, as applicable; such Offering section included in the Public Offering Prospectus will summarize the offering of the Public Offering ADSs and such Offering section included in the Resale Prospectus will summarize the offering of the Shareholder ADSs;</w:t>
      </w:r>
    </w:p>
    <w:p>
      <w:pPr>
        <w:spacing w:after="0" w:line="102" w:lineRule="exact"/>
        <w:rPr>
          <w:rFonts w:ascii="Times New Roman" w:cs="Times New Roman" w:eastAsia="Times New Roman" w:hAnsi="Times New Roman"/>
          <w:sz w:val="18"/>
          <w:szCs w:val="18"/>
          <w:color w:val="auto"/>
        </w:rPr>
      </w:pPr>
    </w:p>
    <w:p>
      <w:pPr>
        <w:ind w:left="1320" w:right="579" w:hanging="434"/>
        <w:spacing w:after="0" w:line="289"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contains different “Use of Proceeds” sections, with the Use of Proceeds section included in the Resale Prospectus only indicating that the Registrant will not receive any proceeds from the sale of the Shareholder ADSs by the Selling Shareholder that occur pursuant to this registration statement;</w:t>
      </w:r>
    </w:p>
    <w:p>
      <w:pPr>
        <w:spacing w:after="0" w:line="90" w:lineRule="exact"/>
        <w:rPr>
          <w:rFonts w:ascii="Times New Roman" w:cs="Times New Roman" w:eastAsia="Times New Roman" w:hAnsi="Times New Roman"/>
          <w:sz w:val="17"/>
          <w:szCs w:val="17"/>
          <w:color w:val="auto"/>
        </w:rPr>
      </w:pPr>
    </w:p>
    <w:p>
      <w:pPr>
        <w:ind w:left="1320" w:right="119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contain the Capitalization and Dilution sections included in the Public Offering Prospectus;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“Selling Shareholder” section is only included in the Resale Prospectus;</w:t>
      </w:r>
    </w:p>
    <w:p>
      <w:pPr>
        <w:spacing w:after="0" w:line="144" w:lineRule="exact"/>
        <w:rPr>
          <w:rFonts w:ascii="Times New Roman" w:cs="Times New Roman" w:eastAsia="Times New Roman" w:hAnsi="Times New Roman"/>
          <w:sz w:val="18"/>
          <w:szCs w:val="18"/>
          <w:color w:val="auto"/>
        </w:rPr>
      </w:pPr>
    </w:p>
    <w:p>
      <w:pPr>
        <w:ind w:left="1320" w:right="819" w:hanging="434"/>
        <w:spacing w:after="0" w:line="312"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“Underwriting” section from the Public Offering Prospectus is not included in the Resale Prospectus and the “Plan of Distribution” section is included only in the Resale Prospectus; and</w:t>
      </w:r>
    </w:p>
    <w:p>
      <w:pPr>
        <w:spacing w:after="0" w:line="72" w:lineRule="exact"/>
        <w:rPr>
          <w:rFonts w:ascii="Times New Roman" w:cs="Times New Roman" w:eastAsia="Times New Roman" w:hAnsi="Times New Roman"/>
          <w:sz w:val="17"/>
          <w:szCs w:val="17"/>
          <w:color w:val="auto"/>
        </w:rPr>
      </w:pPr>
    </w:p>
    <w:p>
      <w:pPr>
        <w:ind w:left="1320" w:right="5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Matters” section in the Resale Prospectus on page Alt-5 deletes the reference to counsel for the underwriter.</w:t>
      </w:r>
    </w:p>
    <w:p>
      <w:pPr>
        <w:spacing w:after="0" w:line="9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Registrant has included in this registration statement a set of alternate pages after the back-cover page of the Public Offering Prospectus (the “Alternate Pages”) to reflect the foregoing differences in the Resale Prospectus as compared to the Public Offering Prospectus. The Public Offering Prospectus will exclude the Alternate Pages and will be used for the public offering by the Registrant. The Resale Prospectus will be substantively identical to the Public Offering Prospectus except for the addition or substitution of the Alternate Pages and will be used for the resale offering by the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241935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D2232A"/>
        </w:rPr>
        <w:t>Dated July 9,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64770</wp:posOffset>
            </wp:positionV>
            <wp:extent cx="3943350" cy="84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69" w:gutter="0" w:footer="0" w:header="0"/>
        </w:sectPr>
      </w:pP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14,400,000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109" w:lineRule="exact"/>
        <w:rPr>
          <w:sz w:val="20"/>
          <w:szCs w:val="20"/>
          <w:color w:val="auto"/>
        </w:rPr>
      </w:pPr>
    </w:p>
    <w:p>
      <w:pPr>
        <w:sectPr>
          <w:pgSz w:w="11900" w:h="16838" w:orient="portrait"/>
          <w:cols w:equalWidth="0" w:num="3">
            <w:col w:w="3240" w:space="720"/>
            <w:col w:w="1380" w:space="720"/>
            <w:col w:w="2959"/>
          </w:cols>
          <w:pgMar w:left="1440" w:top="270" w:right="1440" w:bottom="69" w:gutter="0" w:footer="0" w:header="0"/>
          <w:type w:val="continuous"/>
        </w:sect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69" w:gutter="0" w:footer="0" w:header="0"/>
          <w:type w:val="continuous"/>
        </w:sectPr>
      </w:pPr>
    </w:p>
    <w:p>
      <w:pPr>
        <w:spacing w:after="0" w:line="84" w:lineRule="exact"/>
        <w:rPr>
          <w:sz w:val="20"/>
          <w:szCs w:val="20"/>
          <w:color w:val="auto"/>
        </w:rPr>
      </w:pPr>
    </w:p>
    <w:p>
      <w:pPr>
        <w:ind w:left="460" w:right="459" w:firstLine="432"/>
        <w:spacing w:after="0" w:line="233" w:lineRule="auto"/>
        <w:rPr>
          <w:sz w:val="20"/>
          <w:szCs w:val="20"/>
          <w:color w:val="auto"/>
        </w:rPr>
      </w:pPr>
      <w:r>
        <w:rPr>
          <w:rFonts w:ascii="Times New Roman" w:cs="Times New Roman" w:eastAsia="Times New Roman" w:hAnsi="Times New Roman"/>
          <w:sz w:val="14"/>
          <w:szCs w:val="14"/>
          <w:color w:val="auto"/>
        </w:rPr>
        <w:t>This is the initial public offering of American depositary shares, or ADSs, of Trident Digital Tech Holdings Ltd. We are offering on a firm commitment basis 1,800,000 ADSs representing 14,400,000 Class B ordinary shares (the “Public Offering ADSs”). Infinite Partner International Limited (the “Selling Shareholder”) is also offering 3,125,000 ADSs representing 25,000,000 Class B ordinary shares (the “Shareholder ADSs”) to be sold in the offering pursuant to a prospectus (the “Resale Prospectus”) which forms a part of the registration statement of which this prospectus also forms a part.</w:t>
      </w:r>
    </w:p>
    <w:p>
      <w:pPr>
        <w:spacing w:after="0" w:line="29" w:lineRule="exact"/>
        <w:rPr>
          <w:sz w:val="20"/>
          <w:szCs w:val="20"/>
          <w:color w:val="auto"/>
        </w:rPr>
      </w:pPr>
    </w:p>
    <w:p>
      <w:pPr>
        <w:ind w:left="460" w:right="519" w:firstLine="432"/>
        <w:spacing w:after="0" w:line="236" w:lineRule="auto"/>
        <w:rPr>
          <w:sz w:val="20"/>
          <w:szCs w:val="20"/>
          <w:color w:val="auto"/>
        </w:rPr>
      </w:pPr>
      <w:r>
        <w:rPr>
          <w:rFonts w:ascii="Times New Roman" w:cs="Times New Roman" w:eastAsia="Times New Roman" w:hAnsi="Times New Roman"/>
          <w:sz w:val="14"/>
          <w:szCs w:val="14"/>
          <w:color w:val="auto"/>
        </w:rPr>
        <w:t>Prior to this offering of the Public Offering ADSs, there has been no public market for our ADSs or our Class B ordinary shares. We anticipate that the initial public offering price per ADS in this offering will be between US$5.00 and US$7.00.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42" w:lineRule="exact"/>
        <w:rPr>
          <w:sz w:val="20"/>
          <w:szCs w:val="20"/>
          <w:color w:val="auto"/>
        </w:rPr>
      </w:pPr>
    </w:p>
    <w:p>
      <w:pPr>
        <w:ind w:left="460" w:right="519" w:firstLine="432"/>
        <w:spacing w:after="0" w:line="236" w:lineRule="auto"/>
        <w:rPr>
          <w:sz w:val="20"/>
          <w:szCs w:val="20"/>
          <w:color w:val="auto"/>
        </w:rPr>
      </w:pPr>
      <w:r>
        <w:rPr>
          <w:rFonts w:ascii="Times New Roman" w:cs="Times New Roman" w:eastAsia="Times New Roman" w:hAnsi="Times New Roman"/>
          <w:sz w:val="14"/>
          <w:szCs w:val="14"/>
          <w:color w:val="auto"/>
        </w:rPr>
        <w:t>No sales of the Shareholder ADSs shall occur until after the closing of the offering of the Public Offering ADSs. Once, and if, our ADSs are listed on the Nasdaq Capital Market and there is an established market for these resale shares, the Shareholder ADSs may be sold at prevailing market prices, prices related to prevailing market prices or at privately negotiated prices. We will not receive any of the proceeds from the sale of the Shareholder ADSs by the Selling Shareholder.</w:t>
      </w:r>
    </w:p>
    <w:p>
      <w:pPr>
        <w:spacing w:after="0" w:line="28" w:lineRule="exact"/>
        <w:rPr>
          <w:sz w:val="20"/>
          <w:szCs w:val="20"/>
          <w:color w:val="auto"/>
        </w:rPr>
      </w:pPr>
    </w:p>
    <w:p>
      <w:pPr>
        <w:ind w:left="460" w:right="519" w:firstLine="432"/>
        <w:spacing w:after="0" w:line="224" w:lineRule="auto"/>
        <w:rPr>
          <w:sz w:val="20"/>
          <w:szCs w:val="20"/>
          <w:color w:val="auto"/>
        </w:rPr>
      </w:pPr>
      <w:r>
        <w:rPr>
          <w:rFonts w:ascii="Times New Roman" w:cs="Times New Roman" w:eastAsia="Times New Roman" w:hAnsi="Times New Roman"/>
          <w:sz w:val="14"/>
          <w:szCs w:val="14"/>
          <w:color w:val="auto"/>
        </w:rPr>
        <w:t>Following the completion of this offering of the Public Offering ADSs and the offering of the Shareholder ADSs by the Selling Shareholder pursuant to the Resale Prospectus, our issued and outstanding share capital will consist of 50,000,000 Class A ordinary shares and 466,364,286 Class B ordinary shares, assuming no exercise of the underwriter’s over-allotment option. Mr. Soon Huat Lim will beneficially own all of our issued Class A ordinary shares and will be able to exercise 92.4% of the total voting power of our issued and outstanding share capital immediately following the completion of this offering, assuming no exercise of the underwriter’s over-allotment option.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of the Public Offering ADSs and the offering of the Shareholder ADSs by the Selling Shareholder pursuant to the Resale Prospectus,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38"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under applicable U.S. federal securities laws and are eligible for reduced public company reporting requirements.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9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Investing in our ADSs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11.</w:t>
            </w:r>
          </w:p>
        </w:tc>
        <w:tc>
          <w:tcPr>
            <w:tcW w:w="11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41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PRICE US$</w:t>
            </w:r>
          </w:p>
        </w:tc>
        <w:tc>
          <w:tcPr>
            <w:tcW w:w="28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PER ADS</w:t>
            </w:r>
          </w:p>
        </w:tc>
        <w:tc>
          <w:tcPr>
            <w:tcW w:w="1140" w:type="dxa"/>
            <w:vAlign w:val="bottom"/>
          </w:tcPr>
          <w:p>
            <w:pPr>
              <w:spacing w:after="0"/>
              <w:rPr>
                <w:sz w:val="24"/>
                <w:szCs w:val="24"/>
                <w:color w:val="auto"/>
              </w:rPr>
            </w:pPr>
          </w:p>
        </w:tc>
      </w:tr>
      <w:tr>
        <w:trPr>
          <w:trHeight w:val="297"/>
        </w:trPr>
        <w:tc>
          <w:tcPr>
            <w:tcW w:w="6960" w:type="dxa"/>
            <w:vAlign w:val="bottom"/>
            <w:gridSpan w:val="6"/>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4"/>
                <w:szCs w:val="24"/>
                <w:color w:val="auto"/>
              </w:rPr>
            </w:pPr>
          </w:p>
        </w:tc>
      </w:tr>
      <w:tr>
        <w:trPr>
          <w:trHeight w:val="459"/>
        </w:trPr>
        <w:tc>
          <w:tcPr>
            <w:tcW w:w="36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1"/>
                <w:szCs w:val="21"/>
                <w:b w:val="1"/>
                <w:bCs w:val="1"/>
                <w:color w:val="auto"/>
                <w:vertAlign w:val="superscript"/>
              </w:rPr>
              <w:t>(2)</w:t>
            </w:r>
          </w:p>
        </w:tc>
      </w:tr>
      <w:tr>
        <w:trPr>
          <w:trHeight w:val="24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 of the Public Offering ADSs</w:t>
            </w:r>
          </w:p>
        </w:tc>
        <w:tc>
          <w:tcPr>
            <w:tcW w:w="5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8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24"/>
                <w:szCs w:val="24"/>
                <w:color w:val="auto"/>
              </w:rPr>
            </w:pPr>
          </w:p>
        </w:tc>
        <w:tc>
          <w:tcPr>
            <w:tcW w:w="232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5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US$</w:t>
            </w: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r>
      <w:tr>
        <w:trPr>
          <w:trHeight w:val="25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87"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additional disclosure regarding underwriting compensation payable by us.</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the underwriter does not exercise any portion of the over-allotment option.</w:t>
      </w:r>
    </w:p>
    <w:p>
      <w:pPr>
        <w:spacing w:after="0" w:line="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We expect our total cash expenses for this offering of the Public Offering ADSs (including cash expenses payable to our underwriter</w:t>
      </w:r>
    </w:p>
    <w:p>
      <w:pPr>
        <w:spacing w:after="0" w:line="4" w:lineRule="exact"/>
        <w:rPr>
          <w:sz w:val="20"/>
          <w:szCs w:val="20"/>
          <w:color w:val="auto"/>
        </w:rPr>
      </w:pPr>
    </w:p>
    <w:p>
      <w:pPr>
        <w:ind w:left="460" w:right="479"/>
        <w:spacing w:after="0" w:line="230" w:lineRule="auto"/>
        <w:rPr>
          <w:sz w:val="20"/>
          <w:szCs w:val="20"/>
          <w:color w:val="auto"/>
        </w:rPr>
      </w:pPr>
      <w:r>
        <w:rPr>
          <w:rFonts w:ascii="Times New Roman" w:cs="Times New Roman" w:eastAsia="Times New Roman" w:hAnsi="Times New Roman"/>
          <w:sz w:val="14"/>
          <w:szCs w:val="14"/>
          <w:color w:val="auto"/>
        </w:rPr>
        <w:t>for its out-of-pocket expenses) to be approximately US$ , exclusive of the above discounts and commissions. In addition, we will pay additional items of value in connection with this offering of the Public Offering ADSs that are viewed by the Financial Industry Regulatory Authority, or FINRA, as underwriting compensation. These payments will further reduce proceeds available to us before expenses. See “Underwriting.”</w:t>
      </w:r>
    </w:p>
    <w:p>
      <w:pPr>
        <w:spacing w:after="0" w:line="26" w:lineRule="exact"/>
        <w:rPr>
          <w:sz w:val="20"/>
          <w:szCs w:val="20"/>
          <w:color w:val="auto"/>
        </w:rPr>
      </w:pPr>
    </w:p>
    <w:p>
      <w:pPr>
        <w:ind w:left="460" w:right="539" w:firstLine="432"/>
        <w:spacing w:after="0" w:line="244" w:lineRule="auto"/>
        <w:rPr>
          <w:sz w:val="20"/>
          <w:szCs w:val="20"/>
          <w:color w:val="auto"/>
        </w:rPr>
      </w:pPr>
      <w:r>
        <w:rPr>
          <w:rFonts w:ascii="Times New Roman" w:cs="Times New Roman" w:eastAsia="Times New Roman" w:hAnsi="Times New Roman"/>
          <w:sz w:val="14"/>
          <w:szCs w:val="14"/>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201"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71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The underwriter expects to deliver the Public Offering ADSs against payment in U.S. dollars to purchasers on or about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2024.</w:t>
            </w:r>
          </w:p>
        </w:tc>
      </w:tr>
      <w:tr>
        <w:trPr>
          <w:trHeight w:val="598"/>
        </w:trPr>
        <w:tc>
          <w:tcPr>
            <w:tcW w:w="410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WallachBeth Capital LLC</w:t>
            </w:r>
          </w:p>
        </w:tc>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33"/>
        </w:trPr>
        <w:tc>
          <w:tcPr>
            <w:tcW w:w="41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Prospectus dated</w:t>
            </w:r>
          </w:p>
        </w:tc>
        <w:tc>
          <w:tcPr>
            <w:tcW w:w="306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 2024</w:t>
            </w: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257175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-616585</wp:posOffset>
            </wp:positionV>
            <wp:extent cx="144018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342900"/>
                    </a:xfrm>
                    <a:prstGeom prst="rect">
                      <a:avLst/>
                    </a:prstGeom>
                    <a:noFill/>
                  </pic:spPr>
                </pic:pic>
              </a:graphicData>
            </a:graphic>
          </wp:anchor>
        </w:drawing>
      </w:r>
    </w:p>
    <w:p>
      <w:pPr>
        <w:sectPr>
          <w:pgSz w:w="11900" w:h="16838" w:orient="portrait"/>
          <w:cols w:equalWidth="0" w:num="1">
            <w:col w:w="9019"/>
          </w:cols>
          <w:pgMar w:left="1440" w:top="270" w:right="1440" w:bottom="69" w:gutter="0" w:footer="0" w:header="0"/>
          <w:type w:val="continuous"/>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0"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Neither we nor the underwriter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9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Until , 2024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07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40" w:right="1119" w:firstLine="432"/>
        <w:spacing w:after="0" w:line="261" w:lineRule="auto"/>
        <w:rPr>
          <w:sz w:val="20"/>
          <w:szCs w:val="20"/>
          <w:color w:val="auto"/>
        </w:rPr>
      </w:pPr>
      <w:r>
        <w:rPr>
          <w:rFonts w:ascii="Times New Roman" w:cs="Times New Roman" w:eastAsia="Times New Roman" w:hAnsi="Times New Roman"/>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80" w:lineRule="exact"/>
        <w:rPr>
          <w:sz w:val="20"/>
          <w:szCs w:val="20"/>
          <w:color w:val="auto"/>
        </w:rPr>
      </w:pPr>
    </w:p>
    <w:p>
      <w:pPr>
        <w:ind w:left="540" w:right="69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68" w:lineRule="exact"/>
        <w:rPr>
          <w:sz w:val="20"/>
          <w:szCs w:val="20"/>
          <w:color w:val="auto"/>
        </w:rPr>
      </w:pPr>
    </w:p>
    <w:p>
      <w:pPr>
        <w:ind w:left="540" w:right="63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400" w:right="659" w:hanging="424"/>
        <w:spacing w:after="0" w:line="259"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400" w:right="639" w:hanging="424"/>
        <w:spacing w:after="0" w:line="26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540" w:right="65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December 31, 2023, we served over 200 clients across our core verticals such as food and beverage, wholesale and retail.</w:t>
      </w:r>
    </w:p>
    <w:p>
      <w:pPr>
        <w:spacing w:after="0" w:line="120" w:lineRule="exact"/>
        <w:rPr>
          <w:sz w:val="20"/>
          <w:szCs w:val="20"/>
          <w:color w:val="auto"/>
        </w:rPr>
      </w:pPr>
    </w:p>
    <w:p>
      <w:pPr>
        <w:ind w:left="540" w:right="579" w:firstLine="432"/>
        <w:spacing w:after="0" w:line="256"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We believe Tridentity addresses a massive market opportunity today and provides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27" w:lineRule="exact"/>
        <w:rPr>
          <w:sz w:val="20"/>
          <w:szCs w:val="20"/>
          <w:color w:val="auto"/>
        </w:rPr>
      </w:pPr>
    </w:p>
    <w:p>
      <w:pPr>
        <w:ind w:left="540" w:right="679"/>
        <w:spacing w:after="0" w:line="266" w:lineRule="auto"/>
        <w:rPr>
          <w:sz w:val="20"/>
          <w:szCs w:val="20"/>
          <w:color w:val="auto"/>
        </w:rPr>
      </w:pPr>
      <w:r>
        <w:rPr>
          <w:rFonts w:ascii="Times New Roman" w:cs="Times New Roman" w:eastAsia="Times New Roman" w:hAnsi="Times New Roman"/>
          <w:sz w:val="18"/>
          <w:szCs w:val="18"/>
          <w:color w:val="auto"/>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8"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accounted for 50.2% and 49.8% of our total revenue for the year ended December 31, 2022 respectively. We incurred net losses of approximately US$4.77 million and US$1.13 million for the years ended December 31, 2023 and 2022, respectively.</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digital transformation enabler in the SME segment of the e-commerce enablement and digital optimizing services market in Singapore;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architecture;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perspective and efficient operational capabilities;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a generational shift to Web 3.0;</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grow our client base;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geographical reach;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400" w:right="7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may not be sustainable or indicative of our future growth. Our business could be harmed if we fail to manage our infrastructure to support future growth.</w:t>
      </w:r>
    </w:p>
    <w:p>
      <w:pPr>
        <w:spacing w:after="0" w:line="80"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solutions and services, our business and results of operations could be adversely affected.</w:t>
      </w:r>
    </w:p>
    <w:p>
      <w:pPr>
        <w:spacing w:after="0" w:line="80" w:lineRule="exact"/>
        <w:rPr>
          <w:rFonts w:ascii="Times New Roman" w:cs="Times New Roman" w:eastAsia="Times New Roman" w:hAnsi="Times New Roman"/>
          <w:sz w:val="18"/>
          <w:szCs w:val="18"/>
          <w:color w:val="auto"/>
        </w:rPr>
      </w:pPr>
    </w:p>
    <w:p>
      <w:pPr>
        <w:ind w:left="1400" w:right="83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6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8" w:lineRule="exact"/>
        <w:rPr>
          <w:rFonts w:ascii="Times New Roman" w:cs="Times New Roman" w:eastAsia="Times New Roman" w:hAnsi="Times New Roman"/>
          <w:sz w:val="18"/>
          <w:szCs w:val="18"/>
          <w:color w:val="auto"/>
        </w:rPr>
      </w:pPr>
    </w:p>
    <w:p>
      <w:pPr>
        <w:ind w:left="1400" w:right="7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9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implement our growth strategies successfully which would limit our growth and cause the market price of our ADS to decline.</w:t>
      </w:r>
    </w:p>
    <w:p>
      <w:pPr>
        <w:spacing w:after="0" w:line="94"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infrastructure may adversely affect our business, results of operations and financial condition.</w:t>
      </w:r>
    </w:p>
    <w:p>
      <w:pPr>
        <w:spacing w:after="0" w:line="94" w:lineRule="exact"/>
        <w:rPr>
          <w:rFonts w:ascii="Times New Roman" w:cs="Times New Roman" w:eastAsia="Times New Roman" w:hAnsi="Times New Roman"/>
          <w:sz w:val="18"/>
          <w:szCs w:val="18"/>
          <w:color w:val="auto"/>
        </w:rPr>
      </w:pPr>
    </w:p>
    <w:p>
      <w:pPr>
        <w:ind w:left="1400" w:right="10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reliable performance of Internet infrastructure, bandwidth providers, data center providers, cloud providers, mobile infrastructure, and other third parties.</w:t>
      </w:r>
    </w:p>
    <w:p>
      <w:pPr>
        <w:spacing w:after="0" w:line="80" w:lineRule="exact"/>
        <w:rPr>
          <w:rFonts w:ascii="Times New Roman" w:cs="Times New Roman" w:eastAsia="Times New Roman" w:hAnsi="Times New Roman"/>
          <w:sz w:val="18"/>
          <w:szCs w:val="18"/>
          <w:color w:val="auto"/>
        </w:rPr>
      </w:pPr>
    </w:p>
    <w:p>
      <w:pPr>
        <w:ind w:left="1400" w:right="7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8" w:lineRule="exact"/>
        <w:rPr>
          <w:rFonts w:ascii="Times New Roman" w:cs="Times New Roman" w:eastAsia="Times New Roman" w:hAnsi="Times New Roman"/>
          <w:sz w:val="18"/>
          <w:szCs w:val="18"/>
          <w:color w:val="auto"/>
        </w:rPr>
      </w:pPr>
    </w:p>
    <w:p>
      <w:pPr>
        <w:ind w:left="1400" w:right="99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or proprietary rights could substantially harm our business and results of operations.</w:t>
      </w:r>
    </w:p>
    <w:p>
      <w:pPr>
        <w:spacing w:after="0" w:line="94" w:lineRule="exact"/>
        <w:rPr>
          <w:rFonts w:ascii="Times New Roman" w:cs="Times New Roman" w:eastAsia="Times New Roman" w:hAnsi="Times New Roman"/>
          <w:sz w:val="18"/>
          <w:szCs w:val="18"/>
          <w:color w:val="auto"/>
        </w:rPr>
      </w:pPr>
    </w:p>
    <w:p>
      <w:pPr>
        <w:ind w:left="1400" w:right="639" w:hanging="424"/>
        <w:spacing w:after="0" w:line="261"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98" w:lineRule="exact"/>
        <w:rPr>
          <w:rFonts w:ascii="Times New Roman" w:cs="Times New Roman" w:eastAsia="Times New Roman" w:hAnsi="Times New Roman"/>
          <w:sz w:val="18"/>
          <w:szCs w:val="18"/>
          <w:color w:val="auto"/>
        </w:rPr>
      </w:pPr>
    </w:p>
    <w:p>
      <w:pPr>
        <w:jc w:val="both"/>
        <w:ind w:left="1400" w:right="7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08" w:lineRule="exact"/>
        <w:rPr>
          <w:rFonts w:ascii="Times New Roman" w:cs="Times New Roman" w:eastAsia="Times New Roman" w:hAnsi="Times New Roman"/>
          <w:sz w:val="18"/>
          <w:szCs w:val="18"/>
          <w:color w:val="auto"/>
        </w:rPr>
      </w:pPr>
    </w:p>
    <w:p>
      <w:pPr>
        <w:ind w:left="1400" w:right="6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8" w:lineRule="exact"/>
        <w:rPr>
          <w:rFonts w:ascii="Times New Roman" w:cs="Times New Roman" w:eastAsia="Times New Roman" w:hAnsi="Times New Roman"/>
          <w:sz w:val="18"/>
          <w:szCs w:val="18"/>
          <w:color w:val="auto"/>
        </w:rPr>
      </w:pPr>
    </w:p>
    <w:p>
      <w:pPr>
        <w:ind w:left="1400" w:right="59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Jurisdictions Where We Operate</w:t>
      </w:r>
    </w:p>
    <w:p>
      <w:pPr>
        <w:spacing w:after="0" w:line="148" w:lineRule="exact"/>
        <w:rPr>
          <w:sz w:val="20"/>
          <w:szCs w:val="20"/>
          <w:color w:val="auto"/>
        </w:rPr>
      </w:pPr>
    </w:p>
    <w:p>
      <w:pPr>
        <w:jc w:val="both"/>
        <w:ind w:left="1400" w:right="6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8" w:lineRule="exact"/>
        <w:rPr>
          <w:rFonts w:ascii="Times New Roman" w:cs="Times New Roman" w:eastAsia="Times New Roman" w:hAnsi="Times New Roman"/>
          <w:sz w:val="18"/>
          <w:szCs w:val="18"/>
          <w:color w:val="auto"/>
        </w:rPr>
      </w:pPr>
    </w:p>
    <w:p>
      <w:pPr>
        <w:ind w:left="1400" w:right="91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respect of acts of war, terrorist attacks, epidemics, political unrest, natural disasters, adverse weather and other uncontrollable events.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62" w:lineRule="exact"/>
        <w:rPr>
          <w:sz w:val="20"/>
          <w:szCs w:val="20"/>
          <w:color w:val="auto"/>
        </w:rPr>
      </w:pPr>
    </w:p>
    <w:p>
      <w:pPr>
        <w:ind w:left="1400" w:right="81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or our ADSs may not develop and the trading price for our ADSs may fluctuate significantly.</w:t>
      </w:r>
    </w:p>
    <w:p>
      <w:pPr>
        <w:spacing w:after="0" w:line="80" w:lineRule="exact"/>
        <w:rPr>
          <w:rFonts w:ascii="Times New Roman" w:cs="Times New Roman" w:eastAsia="Times New Roman" w:hAnsi="Times New Roman"/>
          <w:sz w:val="18"/>
          <w:szCs w:val="18"/>
          <w:color w:val="auto"/>
        </w:rPr>
      </w:pPr>
    </w:p>
    <w:p>
      <w:pPr>
        <w:ind w:left="1400" w:right="9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pacing w:after="0" w:line="94" w:lineRule="exact"/>
        <w:rPr>
          <w:rFonts w:ascii="Times New Roman" w:cs="Times New Roman" w:eastAsia="Times New Roman" w:hAnsi="Times New Roman"/>
          <w:sz w:val="18"/>
          <w:szCs w:val="18"/>
          <w:color w:val="auto"/>
        </w:rPr>
      </w:pPr>
    </w:p>
    <w:p>
      <w:pPr>
        <w:ind w:left="1400" w:right="719" w:hanging="424"/>
        <w:spacing w:after="0" w:line="266"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96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796530"/>
                    </a:xfrm>
                    <a:prstGeom prst="rect">
                      <a:avLst/>
                    </a:prstGeom>
                    <a:noFill/>
                  </pic:spPr>
                </pic:pic>
              </a:graphicData>
            </a:graphic>
          </wp:anchor>
        </w:drawing>
      </w:r>
    </w:p>
    <w:p>
      <w:pPr>
        <w:spacing w:after="0" w:line="327" w:lineRule="exact"/>
        <w:rPr>
          <w:sz w:val="20"/>
          <w:szCs w:val="20"/>
          <w:color w:val="auto"/>
        </w:rPr>
      </w:pPr>
    </w:p>
    <w:p>
      <w:pPr>
        <w:ind w:left="1400" w:right="5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08"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Stock Market Rules.</w:t>
      </w:r>
    </w:p>
    <w:p>
      <w:pPr>
        <w:spacing w:after="0" w:line="94" w:lineRule="exact"/>
        <w:rPr>
          <w:rFonts w:ascii="Times New Roman" w:cs="Times New Roman" w:eastAsia="Times New Roman" w:hAnsi="Times New Roman"/>
          <w:sz w:val="18"/>
          <w:szCs w:val="18"/>
          <w:color w:val="auto"/>
        </w:rPr>
      </w:pPr>
    </w:p>
    <w:p>
      <w:pPr>
        <w:ind w:left="1400" w:right="659" w:hanging="424"/>
        <w:spacing w:after="0" w:line="261"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substantial sales of our ADSs by the Selling Shareholder after the effective date of the registration statement of which this prospectus forms a part, which could have a material adverse effect on the price of our ADSs after this offering (see the disclosure beginning on page 35 of this Public Offering Prospectus).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112"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102" w:lineRule="exact"/>
        <w:rPr>
          <w:sz w:val="20"/>
          <w:szCs w:val="20"/>
          <w:color w:val="auto"/>
        </w:rPr>
      </w:pPr>
    </w:p>
    <w:p>
      <w:pPr>
        <w:ind w:left="540" w:right="719" w:firstLine="432"/>
        <w:spacing w:after="0" w:line="266" w:lineRule="auto"/>
        <w:rPr>
          <w:sz w:val="20"/>
          <w:szCs w:val="20"/>
          <w:color w:val="auto"/>
        </w:rPr>
      </w:pPr>
      <w:r>
        <w:rPr>
          <w:rFonts w:ascii="Times New Roman" w:cs="Times New Roman" w:eastAsia="Times New Roman" w:hAnsi="Times New Roman"/>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62" w:lineRule="exact"/>
        <w:rPr>
          <w:sz w:val="20"/>
          <w:szCs w:val="20"/>
          <w:color w:val="auto"/>
        </w:rPr>
      </w:pPr>
    </w:p>
    <w:p>
      <w:pPr>
        <w:ind w:left="540" w:right="659" w:firstLine="432"/>
        <w:spacing w:after="0" w:line="254"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1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of the Public Offering ADSs;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48"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of the Public Offering ADSs and the offering of the Shareholder ADSs by the Selling Shareholder pursuant to the Resale Prospectus, Mr. Soon Huat Lim, our founder, chairman of board of directors and chief executive officer will beneficially own 48.7% of our total issued and outstanding ordinary shares, representing 92.4% of the total voting power, assuming no exercise of the underwriter’s over-allotment option.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540" w:right="619" w:firstLine="432"/>
        <w:spacing w:after="0" w:line="255"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3" w:lineRule="exact"/>
        <w:rPr>
          <w:sz w:val="20"/>
          <w:szCs w:val="20"/>
          <w:color w:val="auto"/>
        </w:rPr>
      </w:pPr>
    </w:p>
    <w:p>
      <w:pPr>
        <w:ind w:left="540" w:right="579"/>
        <w:spacing w:after="0" w:line="252" w:lineRule="auto"/>
        <w:rPr>
          <w:sz w:val="20"/>
          <w:szCs w:val="20"/>
          <w:color w:val="auto"/>
        </w:rPr>
      </w:pPr>
      <w:r>
        <w:rPr>
          <w:rFonts w:ascii="Times New Roman" w:cs="Times New Roman" w:eastAsia="Times New Roman" w:hAnsi="Times New Roman"/>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540" w:right="579" w:firstLine="432"/>
        <w:spacing w:after="0" w:line="264" w:lineRule="auto"/>
        <w:rPr>
          <w:sz w:val="20"/>
          <w:szCs w:val="20"/>
          <w:color w:val="auto"/>
        </w:rPr>
      </w:pPr>
      <w:r>
        <w:rPr>
          <w:rFonts w:ascii="Times New Roman" w:cs="Times New Roman" w:eastAsia="Times New Roman" w:hAnsi="Times New Roman"/>
          <w:sz w:val="18"/>
          <w:szCs w:val="18"/>
          <w:color w:val="auto"/>
        </w:rPr>
        <w:t>Our principal executive office is located at Suntec Tower 3, 8 Temasek Boulevard Road, #24-03, Singapore, 038988. Our telephone number at this address is +65 6513 6868. Our registered office in the Cayman Islands is located at the Office of Maples Corporate Services Limited, PO Box 309, Ugland House, Grand Cayman, KY1-1104, Cayman Islands.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51" w:lineRule="exact"/>
        <w:rPr>
          <w:sz w:val="20"/>
          <w:szCs w:val="20"/>
          <w:color w:val="auto"/>
        </w:rPr>
      </w:pPr>
    </w:p>
    <w:p>
      <w:pPr>
        <w:jc w:val="both"/>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https://tridentity.me</w:t>
      </w:r>
      <w:r>
        <w:rPr>
          <w:rFonts w:ascii="Times New Roman" w:cs="Times New Roman" w:eastAsia="Times New Roman" w:hAnsi="Times New Roman"/>
          <w:sz w:val="18"/>
          <w:szCs w:val="18"/>
          <w:color w:val="auto"/>
        </w:rPr>
        <w:t>. The information contained on our website is not a part of this prospectus.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that evidence our ADSs;</w:t>
      </w:r>
    </w:p>
    <w:p>
      <w:pPr>
        <w:spacing w:after="0" w:line="144" w:lineRule="exact"/>
        <w:rPr>
          <w:rFonts w:ascii="Times New Roman" w:cs="Times New Roman" w:eastAsia="Times New Roman" w:hAnsi="Times New Roman"/>
          <w:sz w:val="18"/>
          <w:szCs w:val="18"/>
          <w:color w:val="auto"/>
        </w:rPr>
      </w:pPr>
    </w:p>
    <w:p>
      <w:pPr>
        <w:ind w:left="1400" w:right="117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Class B ordinary shares;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US$0.00001 per share;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US$0.00001 per share;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“GDP” refers to gross domestic product;</w:t>
      </w:r>
    </w:p>
    <w:p>
      <w:pPr>
        <w:spacing w:after="0" w:line="157" w:lineRule="exact"/>
        <w:rPr>
          <w:rFonts w:ascii="Times New Roman" w:cs="Times New Roman" w:eastAsia="Times New Roman" w:hAnsi="Times New Roman"/>
          <w:sz w:val="18"/>
          <w:szCs w:val="18"/>
          <w:color w:val="auto"/>
        </w:rPr>
      </w:pPr>
    </w:p>
    <w:p>
      <w:pPr>
        <w:ind w:left="1400" w:right="1279" w:hanging="424"/>
        <w:spacing w:after="0" w:line="312" w:lineRule="auto"/>
        <w:tabs>
          <w:tab w:leader="none" w:pos="13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“IMDA” refers to Infocomm Media Development Authority, a statutory board under the Singapore Ministry of Communications and Information of the Republic of Singapore;</w:t>
      </w:r>
    </w:p>
    <w:p>
      <w:pPr>
        <w:spacing w:after="0" w:line="58" w:lineRule="exact"/>
        <w:rPr>
          <w:rFonts w:ascii="Times New Roman" w:cs="Times New Roman" w:eastAsia="Times New Roman" w:hAnsi="Times New Roman"/>
          <w:sz w:val="17"/>
          <w:szCs w:val="17"/>
          <w:color w:val="auto"/>
        </w:rPr>
      </w:pPr>
    </w:p>
    <w:p>
      <w:pPr>
        <w:ind w:left="1400" w:right="7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US$0.00001 per share;</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“QZT” refers to Quality Zone Technologies Pte. Ltd., a company incorporated in Singapore, and a direct wholly-owned subsidiary of our Company;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58"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Resale Shares” means the 1,925,000 ADSs of the 3,125,000 ADSs representing 25,000,000 Class B ordinary shares of the Company held by Infinite Partner International Limited, or the Selling Shareholder, and being subject to a lock-up agreement between the Selling Shareholder and the underwriter for the offering of the Public Offering ADSs, that are being registered pursuant to the Resale Prospectus;</w:t>
      </w:r>
    </w:p>
    <w:p>
      <w:pPr>
        <w:spacing w:after="0" w:line="102"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or “SGD” refers to the Singapore dollar, the legal currency of Singapore;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refers to the Republic of Singapore;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 refers to small and medium enterprises;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98" w:lineRule="exact"/>
        <w:rPr>
          <w:rFonts w:ascii="Times New Roman" w:cs="Times New Roman" w:eastAsia="Times New Roman" w:hAnsi="Times New Roman"/>
          <w:sz w:val="18"/>
          <w:szCs w:val="18"/>
          <w:color w:val="auto"/>
        </w:rPr>
      </w:pPr>
    </w:p>
    <w:p>
      <w:pPr>
        <w:ind w:left="1400" w:right="133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Singapore” refers to Trident Digital Tech Pte. Ltd., a company incorporated in Singapore, and an indirect wholly-owned subsidiary of our Company;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“dollars,” or “U.S. dollars” refers to the legal currency of the United States;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144" w:lineRule="exact"/>
        <w:rPr>
          <w:rFonts w:ascii="Times New Roman" w:cs="Times New Roman" w:eastAsia="Times New Roman" w:hAnsi="Times New Roman"/>
          <w:sz w:val="18"/>
          <w:szCs w:val="18"/>
          <w:color w:val="auto"/>
        </w:rPr>
      </w:pPr>
    </w:p>
    <w:p>
      <w:pPr>
        <w:ind w:left="1400" w:right="5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“Trident Cayman” and “our” refer to Trident Digital Tech Holdings Ltd, a Cayman Islands company and its subsidiaries.</w:t>
      </w:r>
    </w:p>
    <w:p>
      <w:pPr>
        <w:spacing w:after="0" w:line="94"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SGD1.3193 to US$1.00, the noon buying rate on December 29, 2023,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4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9452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right="40" w:hanging="179"/>
        <w:spacing w:after="0" w:line="282" w:lineRule="auto"/>
        <w:rPr>
          <w:sz w:val="20"/>
          <w:szCs w:val="20"/>
          <w:color w:val="auto"/>
        </w:rPr>
      </w:pPr>
      <w:r>
        <w:rPr>
          <w:rFonts w:ascii="Times New Roman" w:cs="Times New Roman" w:eastAsia="Times New Roman" w:hAnsi="Times New Roman"/>
          <w:sz w:val="18"/>
          <w:szCs w:val="18"/>
          <w:color w:val="auto"/>
        </w:rPr>
        <w:t>ADSs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200" w:lineRule="exact"/>
        <w:rPr>
          <w:sz w:val="20"/>
          <w:szCs w:val="20"/>
          <w:color w:val="auto"/>
        </w:rPr>
      </w:pPr>
    </w:p>
    <w:p>
      <w:pPr>
        <w:spacing w:after="0" w:line="3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right="739"/>
        <w:spacing w:after="0" w:line="282" w:lineRule="auto"/>
        <w:rPr>
          <w:sz w:val="20"/>
          <w:szCs w:val="20"/>
          <w:color w:val="auto"/>
        </w:rPr>
      </w:pPr>
      <w:r>
        <w:rPr>
          <w:rFonts w:ascii="Times New Roman" w:cs="Times New Roman" w:eastAsia="Times New Roman" w:hAnsi="Times New Roman"/>
          <w:sz w:val="18"/>
          <w:szCs w:val="18"/>
          <w:color w:val="auto"/>
        </w:rPr>
        <w:t>We expect that the initial public offering price will be between US$5.00 and US$7.00 per ADS.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1,800,000 ADSs.</w:t>
      </w:r>
    </w:p>
    <w:p>
      <w:pPr>
        <w:spacing w:after="0" w:line="198" w:lineRule="exact"/>
        <w:rPr>
          <w:sz w:val="20"/>
          <w:szCs w:val="20"/>
          <w:color w:val="auto"/>
        </w:rPr>
      </w:pPr>
    </w:p>
    <w:p>
      <w:pPr>
        <w:ind w:right="779"/>
        <w:spacing w:after="0" w:line="266" w:lineRule="auto"/>
        <w:rPr>
          <w:sz w:val="20"/>
          <w:szCs w:val="20"/>
          <w:color w:val="auto"/>
        </w:rPr>
      </w:pPr>
      <w:r>
        <w:rPr>
          <w:rFonts w:ascii="Times New Roman" w:cs="Times New Roman" w:eastAsia="Times New Roman" w:hAnsi="Times New Roman"/>
          <w:sz w:val="18"/>
          <w:szCs w:val="18"/>
          <w:color w:val="auto"/>
        </w:rPr>
        <w:t>We have granted to the underwriters an option, which is exercisable within 45 days from the date of this prospectus, to purchase up to 270,000 additional ADSs.</w:t>
      </w:r>
    </w:p>
    <w:p>
      <w:pPr>
        <w:spacing w:after="0" w:line="365" w:lineRule="exact"/>
        <w:rPr>
          <w:sz w:val="20"/>
          <w:szCs w:val="20"/>
          <w:color w:val="auto"/>
        </w:rPr>
      </w:pPr>
    </w:p>
    <w:p>
      <w:pPr>
        <w:ind w:right="1159"/>
        <w:spacing w:after="0" w:line="261" w:lineRule="auto"/>
        <w:rPr>
          <w:sz w:val="20"/>
          <w:szCs w:val="20"/>
          <w:color w:val="auto"/>
        </w:rPr>
      </w:pPr>
      <w:r>
        <w:rPr>
          <w:rFonts w:ascii="Times New Roman" w:cs="Times New Roman" w:eastAsia="Times New Roman" w:hAnsi="Times New Roman"/>
          <w:sz w:val="18"/>
          <w:szCs w:val="18"/>
          <w:color w:val="auto"/>
        </w:rPr>
        <w:t>1,800,000 ADSs, excluding an aggregate of 3,125,000 Shareholder ADSs to be sold by the Selling Shareholder pursuant to the Resale Prospectus, and assuming that the underwriter does not exercise its over-allotment option.</w:t>
      </w:r>
    </w:p>
    <w:p>
      <w:pPr>
        <w:spacing w:after="0" w:line="369" w:lineRule="exact"/>
        <w:rPr>
          <w:sz w:val="20"/>
          <w:szCs w:val="20"/>
          <w:color w:val="auto"/>
        </w:rPr>
      </w:pPr>
    </w:p>
    <w:p>
      <w:pPr>
        <w:ind w:right="619"/>
        <w:spacing w:after="0" w:line="266"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 assuming that the underwriter does not exercise its over-allotment option.</w:t>
      </w:r>
    </w:p>
    <w:p>
      <w:pPr>
        <w:spacing w:after="0" w:line="149" w:lineRule="exact"/>
        <w:rPr>
          <w:sz w:val="20"/>
          <w:szCs w:val="20"/>
          <w:color w:val="auto"/>
        </w:rPr>
      </w:pPr>
    </w:p>
    <w:p>
      <w:pPr>
        <w:jc w:val="both"/>
        <w:ind w:right="719"/>
        <w:spacing w:after="0" w:line="282" w:lineRule="auto"/>
        <w:rPr>
          <w:sz w:val="20"/>
          <w:szCs w:val="20"/>
          <w:color w:val="auto"/>
        </w:rPr>
      </w:pPr>
      <w:r>
        <w:rPr>
          <w:rFonts w:ascii="Times New Roman" w:cs="Times New Roman" w:eastAsia="Times New Roman" w:hAnsi="Times New Roman"/>
          <w:sz w:val="18"/>
          <w:szCs w:val="18"/>
          <w:color w:val="auto"/>
        </w:rPr>
        <w:t>Each ADS represents eight Class B ordinary shares, par value US$0.00001 per share. The ADSs generally are uncertificated.</w:t>
      </w:r>
    </w:p>
    <w:p>
      <w:pPr>
        <w:spacing w:after="0" w:line="94"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The depositary will hold the Class B ordinary shares underlying your ADSs and you will have rights as provided in the deposit agreement.</w:t>
      </w:r>
    </w:p>
    <w:p>
      <w:pPr>
        <w:spacing w:after="0" w:line="108"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spacing w:after="0" w:line="102"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spacing w:after="0" w:line="120"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43" w:lineRule="exact"/>
        <w:rPr>
          <w:sz w:val="20"/>
          <w:szCs w:val="20"/>
          <w:color w:val="auto"/>
        </w:rPr>
      </w:pPr>
    </w:p>
    <w:p>
      <w:pPr>
        <w:ind w:right="579"/>
        <w:spacing w:after="0" w:line="254"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US$8.13 million from this offering of the Public Offering ADSs, after deducting the underwriting discounts, commissions, non-accountable expense allowance and estimated offering expenses payable by us and assuming an initial public offering price of US$6.00 per ADS, being the mid-point of the estimated range of the initial public offering price shown on the front cover of this prospectus.</w:t>
      </w:r>
    </w:p>
    <w:p>
      <w:pPr>
        <w:spacing w:after="0" w:line="124" w:lineRule="exact"/>
        <w:rPr>
          <w:sz w:val="20"/>
          <w:szCs w:val="20"/>
          <w:color w:val="auto"/>
        </w:rPr>
      </w:pPr>
    </w:p>
    <w:p>
      <w:pPr>
        <w:ind w:right="619"/>
        <w:spacing w:after="0" w:line="255" w:lineRule="auto"/>
        <w:rPr>
          <w:sz w:val="20"/>
          <w:szCs w:val="20"/>
          <w:color w:val="auto"/>
        </w:rPr>
      </w:pPr>
      <w:r>
        <w:rPr>
          <w:rFonts w:ascii="Times New Roman" w:cs="Times New Roman" w:eastAsia="Times New Roman" w:hAnsi="Times New Roman"/>
          <w:sz w:val="18"/>
          <w:szCs w:val="18"/>
          <w:color w:val="auto"/>
        </w:rPr>
        <w:t>We plan to use the net proceeds we receive from this offering of the Public Offering ADSs to invest in research and development, the Singapore market, and for general corporate purposes. We will not receive any proceeds from the sale of the Shareholder ADSs by the Selling Shareholder pursuant to the Resale Prospectus. See “Use of Proceeds” for additional information.</w:t>
      </w:r>
    </w:p>
    <w:p>
      <w:pPr>
        <w:spacing w:after="0" w:line="200" w:lineRule="exact"/>
        <w:rPr>
          <w:sz w:val="20"/>
          <w:szCs w:val="20"/>
          <w:color w:val="auto"/>
        </w:rPr>
      </w:pPr>
    </w:p>
    <w:p>
      <w:pPr>
        <w:sectPr>
          <w:pgSz w:w="11900" w:h="16838" w:orient="portrait"/>
          <w:cols w:equalWidth="0" w:num="2">
            <w:col w:w="3520" w:space="260"/>
            <w:col w:w="5239"/>
          </w:cols>
          <w:pgMar w:left="1440" w:top="270" w:right="1440" w:bottom="144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244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6244590"/>
                    </a:xfrm>
                    <a:prstGeom prst="rect">
                      <a:avLst/>
                    </a:prstGeom>
                    <a:noFill/>
                  </pic:spPr>
                </pic:pic>
              </a:graphicData>
            </a:graphic>
          </wp:anchor>
        </w:drawing>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Lock-up</w:t>
            </w: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Each of us and any successors of us will agree, for a period of</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three months from the closing of the offering, not to sell,</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transfer or otherwise dispose of any capital securities (or</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underlying securities) of the Company without the express</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written consent of the underwriter, which consent may be given</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or withheld in the underwriter’s sole discretion.</w:t>
            </w:r>
          </w:p>
        </w:tc>
      </w:tr>
      <w:tr>
        <w:trPr>
          <w:trHeight w:val="333"/>
        </w:trPr>
        <w:tc>
          <w:tcPr>
            <w:tcW w:w="2480" w:type="dxa"/>
            <w:vAlign w:val="bottom"/>
          </w:tcPr>
          <w:p>
            <w:pPr>
              <w:spacing w:after="0"/>
              <w:rPr>
                <w:sz w:val="24"/>
                <w:szCs w:val="24"/>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Our directors, officers and holders of more than 5% of the</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Company’s outstanding ordinary shares as of the effective date</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of the registration statement are expected to enter into lock-up</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agreements with the underwriter not to sell, transfer, or dispose</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of any Class B ordinary shares for a period of up to six months</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after this offering of the Public Offering ADSs is completed.</w:t>
            </w:r>
          </w:p>
        </w:tc>
      </w:tr>
      <w:tr>
        <w:trPr>
          <w:trHeight w:val="346"/>
        </w:trPr>
        <w:tc>
          <w:tcPr>
            <w:tcW w:w="2480" w:type="dxa"/>
            <w:vAlign w:val="bottom"/>
          </w:tcPr>
          <w:p>
            <w:pPr>
              <w:spacing w:after="0"/>
              <w:rPr>
                <w:sz w:val="24"/>
                <w:szCs w:val="24"/>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Selling Shareholder is expected to enter into a lock-up</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9"/>
              </w:rPr>
              <w:t>agreement with the underwriter not to sell, transfer, or dispose of</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any Relevant Resale Shares for a period of up to six months</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9"/>
              </w:rPr>
              <w:t>after this offering of the Public Offering ADSs is completed. See</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“Shares Eligible for Future Sale” and “Underwriting” for more</w:t>
            </w:r>
          </w:p>
        </w:tc>
      </w:tr>
      <w:tr>
        <w:trPr>
          <w:trHeight w:val="234"/>
        </w:trPr>
        <w:tc>
          <w:tcPr>
            <w:tcW w:w="2480" w:type="dxa"/>
            <w:vAlign w:val="bottom"/>
          </w:tcPr>
          <w:p>
            <w:pPr>
              <w:spacing w:after="0"/>
              <w:rPr>
                <w:sz w:val="20"/>
                <w:szCs w:val="20"/>
                <w:color w:val="auto"/>
              </w:rPr>
            </w:pPr>
          </w:p>
        </w:tc>
        <w:tc>
          <w:tcPr>
            <w:tcW w:w="1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information.</w:t>
            </w:r>
          </w:p>
        </w:tc>
        <w:tc>
          <w:tcPr>
            <w:tcW w:w="3460" w:type="dxa"/>
            <w:vAlign w:val="bottom"/>
          </w:tcPr>
          <w:p>
            <w:pPr>
              <w:spacing w:after="0"/>
              <w:rPr>
                <w:sz w:val="20"/>
                <w:szCs w:val="20"/>
                <w:color w:val="auto"/>
              </w:rPr>
            </w:pPr>
          </w:p>
        </w:tc>
      </w:tr>
      <w:tr>
        <w:trPr>
          <w:trHeight w:val="37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prospectus for a discussion of the risks you should carefully</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consider before investing in the ADSs.</w:t>
            </w:r>
          </w:p>
        </w:tc>
      </w:tr>
      <w:tr>
        <w:trPr>
          <w:trHeight w:val="38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We have applied to have the ADSs listed on the Nasdaq Capital</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Market under the symbol “TDTH.”</w:t>
            </w:r>
          </w:p>
        </w:tc>
      </w:tr>
      <w:tr>
        <w:trPr>
          <w:trHeight w:val="38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Payment and settlement</w:t>
            </w: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Public Offering ADSs are expected to be delivered against</w:t>
            </w:r>
          </w:p>
        </w:tc>
      </w:tr>
      <w:tr>
        <w:trPr>
          <w:trHeight w:val="216"/>
        </w:trPr>
        <w:tc>
          <w:tcPr>
            <w:tcW w:w="2480" w:type="dxa"/>
            <w:vAlign w:val="bottom"/>
          </w:tcPr>
          <w:p>
            <w:pPr>
              <w:spacing w:after="0"/>
              <w:rPr>
                <w:sz w:val="18"/>
                <w:szCs w:val="18"/>
                <w:color w:val="auto"/>
              </w:rPr>
            </w:pPr>
          </w:p>
        </w:tc>
        <w:tc>
          <w:tcPr>
            <w:tcW w:w="1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payment on</w:t>
            </w: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 2024. They will be registered in the name of</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 nominee of The Depository Trust Company, or DTC.</w:t>
            </w:r>
          </w:p>
        </w:tc>
      </w:tr>
      <w:tr>
        <w:trPr>
          <w:trHeight w:val="405"/>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Depositary</w:t>
            </w:r>
          </w:p>
        </w:tc>
        <w:tc>
          <w:tcPr>
            <w:tcW w:w="1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Citibank, N.A.</w:t>
            </w:r>
          </w:p>
        </w:tc>
        <w:tc>
          <w:tcPr>
            <w:tcW w:w="3460" w:type="dxa"/>
            <w:vAlign w:val="bottom"/>
          </w:tcPr>
          <w:p>
            <w:pPr>
              <w:spacing w:after="0"/>
              <w:rPr>
                <w:sz w:val="24"/>
                <w:szCs w:val="24"/>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number of ordinary shares that will be issued and outstanding immediately after this offering:</w:t>
      </w:r>
    </w:p>
    <w:p>
      <w:pPr>
        <w:spacing w:after="0" w:line="158" w:lineRule="exact"/>
        <w:rPr>
          <w:sz w:val="20"/>
          <w:szCs w:val="20"/>
          <w:color w:val="auto"/>
        </w:rPr>
      </w:pPr>
    </w:p>
    <w:p>
      <w:pPr>
        <w:ind w:left="1400" w:hanging="42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501,964,286 issued and outstanding ordinary shares as of the date of this prospectus;</w:t>
      </w:r>
    </w:p>
    <w:p>
      <w:pPr>
        <w:spacing w:after="0" w:line="14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14,400,000 Class B ordinary shares in the form of ADSs that we will issue and sell in this offering, assuming no exercise of the underwriter’s over-allotment option;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784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678497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540" w:right="69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2023 and 2022 and summary consolidated balance sheet data as of December 31, 2023 and 2022 have been derived from our audited consolidated financial statements included elsewhere in this prospectus.</w:t>
      </w:r>
    </w:p>
    <w:p>
      <w:pPr>
        <w:spacing w:after="0" w:line="112" w:lineRule="exact"/>
        <w:rPr>
          <w:sz w:val="20"/>
          <w:szCs w:val="20"/>
          <w:color w:val="auto"/>
        </w:rPr>
      </w:pPr>
    </w:p>
    <w:p>
      <w:pPr>
        <w:ind w:left="540" w:right="79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ind w:left="54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1,483,109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tc>
        <w:tc>
          <w:tcPr>
            <w:tcW w:w="3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(4,774,087)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320" w:type="dxa"/>
            <w:vAlign w:val="bottom"/>
          </w:tcPr>
          <w:p>
            <w:pPr>
              <w:spacing w:after="0"/>
              <w:rPr>
                <w:sz w:val="22"/>
                <w:szCs w:val="22"/>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454,940,744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20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610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5610225"/>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18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1,046,187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80" w:type="dxa"/>
            <w:vAlign w:val="bottom"/>
          </w:tcPr>
          <w:p>
            <w:pPr>
              <w:spacing w:after="0"/>
              <w:rPr>
                <w:sz w:val="24"/>
                <w:szCs w:val="24"/>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2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8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9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
        </w:trPr>
        <w:tc>
          <w:tcPr>
            <w:tcW w:w="3500" w:type="dxa"/>
            <w:vAlign w:val="bottom"/>
            <w:gridSpan w:val="2"/>
          </w:tcPr>
          <w:p>
            <w:pPr>
              <w:spacing w:after="0"/>
              <w:rPr>
                <w:sz w:val="4"/>
                <w:szCs w:val="4"/>
                <w:color w:val="auto"/>
              </w:rPr>
            </w:pPr>
          </w:p>
        </w:tc>
        <w:tc>
          <w:tcPr>
            <w:tcW w:w="2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4"/>
        </w:trPr>
        <w:tc>
          <w:tcPr>
            <w:tcW w:w="8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c>
          <w:tcPr>
            <w:tcW w:w="100" w:type="dxa"/>
            <w:vAlign w:val="bottom"/>
          </w:tcPr>
          <w:p>
            <w:pPr>
              <w:spacing w:after="0"/>
              <w:rPr>
                <w:sz w:val="21"/>
                <w:szCs w:val="21"/>
                <w:color w:val="auto"/>
              </w:rPr>
            </w:pPr>
          </w:p>
        </w:tc>
      </w:tr>
      <w:tr>
        <w:trPr>
          <w:trHeight w:val="243"/>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c>
          <w:tcPr>
            <w:tcW w:w="100" w:type="dxa"/>
            <w:vAlign w:val="bottom"/>
          </w:tcPr>
          <w:p>
            <w:pPr>
              <w:spacing w:after="0"/>
              <w:rPr>
                <w:sz w:val="21"/>
                <w:szCs w:val="21"/>
                <w:color w:val="auto"/>
              </w:rPr>
            </w:pPr>
          </w:p>
        </w:tc>
      </w:tr>
      <w:tr>
        <w:trPr>
          <w:trHeight w:val="40"/>
        </w:trPr>
        <w:tc>
          <w:tcPr>
            <w:tcW w:w="3500" w:type="dxa"/>
            <w:vAlign w:val="bottom"/>
            <w:gridSpan w:val="2"/>
          </w:tcPr>
          <w:p>
            <w:pPr>
              <w:spacing w:after="0"/>
              <w:rPr>
                <w:sz w:val="3"/>
                <w:szCs w:val="3"/>
                <w:color w:val="auto"/>
              </w:rPr>
            </w:pPr>
          </w:p>
        </w:tc>
        <w:tc>
          <w:tcPr>
            <w:tcW w:w="2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5,902,303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1,378,257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Pr>
          <w:p>
            <w:pPr>
              <w:spacing w:after="0"/>
              <w:rPr>
                <w:sz w:val="22"/>
                <w:szCs w:val="22"/>
                <w:color w:val="auto"/>
              </w:rPr>
            </w:pPr>
          </w:p>
        </w:tc>
      </w:tr>
      <w:tr>
        <w:trPr>
          <w:trHeight w:val="27"/>
        </w:trPr>
        <w:tc>
          <w:tcPr>
            <w:tcW w:w="350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863,338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14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8"/>
        </w:trPr>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may not be sustainable or indicative of our future growth.</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fail to manage our infrastructure to support future growth.</w:t>
      </w:r>
    </w:p>
    <w:p>
      <w:pPr>
        <w:spacing w:after="0" w:line="16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89" w:lineRule="exact"/>
        <w:rPr>
          <w:sz w:val="20"/>
          <w:szCs w:val="20"/>
          <w:color w:val="auto"/>
        </w:rPr>
      </w:pPr>
    </w:p>
    <w:p>
      <w:pPr>
        <w:ind w:left="460" w:right="9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Currently, substantially all of our sales are to clients in the e-commerce, food and beverage, fintech, healthcare and service, wholesale and retail industries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84" w:lineRule="exact"/>
        <w:rPr>
          <w:sz w:val="20"/>
          <w:szCs w:val="20"/>
          <w:color w:val="auto"/>
        </w:rPr>
      </w:pPr>
    </w:p>
    <w:p>
      <w:pPr>
        <w:ind w:left="4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9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December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27" w:lineRule="exact"/>
        <w:rPr>
          <w:sz w:val="20"/>
          <w:szCs w:val="20"/>
          <w:color w:val="auto"/>
        </w:rPr>
      </w:pPr>
    </w:p>
    <w:p>
      <w:pPr>
        <w:jc w:val="both"/>
        <w:ind w:left="460" w:right="759" w:firstLine="432"/>
        <w:spacing w:after="0" w:line="272" w:lineRule="auto"/>
        <w:rPr>
          <w:sz w:val="20"/>
          <w:szCs w:val="20"/>
          <w:color w:val="auto"/>
        </w:rPr>
      </w:pPr>
      <w:r>
        <w:rPr>
          <w:rFonts w:ascii="Times New Roman" w:cs="Times New Roman" w:eastAsia="Times New Roman" w:hAnsi="Times New Roman"/>
          <w:sz w:val="17"/>
          <w:szCs w:val="17"/>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51" w:lineRule="auto"/>
        <w:rPr>
          <w:sz w:val="20"/>
          <w:szCs w:val="20"/>
          <w:color w:val="auto"/>
        </w:rPr>
      </w:pPr>
      <w:r>
        <w:rPr>
          <w:rFonts w:ascii="Times New Roman" w:cs="Times New Roman" w:eastAsia="Times New Roman" w:hAnsi="Times New Roman"/>
          <w:sz w:val="18"/>
          <w:szCs w:val="18"/>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90"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78"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90"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10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85"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83"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93" w:lineRule="exact"/>
        <w:rPr>
          <w:sz w:val="20"/>
          <w:szCs w:val="20"/>
          <w:color w:val="auto"/>
        </w:rPr>
      </w:pPr>
    </w:p>
    <w:p>
      <w:pPr>
        <w:jc w:val="both"/>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1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66" w:lineRule="auto"/>
        <w:rPr>
          <w:sz w:val="20"/>
          <w:szCs w:val="20"/>
          <w:color w:val="auto"/>
        </w:rPr>
      </w:pPr>
      <w:r>
        <w:rPr>
          <w:rFonts w:ascii="Times New Roman" w:cs="Times New Roman" w:eastAsia="Times New Roman" w:hAnsi="Times New Roman"/>
          <w:sz w:val="18"/>
          <w:szCs w:val="18"/>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0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83"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incurred net loss of approximately US$4.77 million and US$1.13 million in 2023 and 2022, respectively.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spacing w:after="0" w:line="112"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expanding our direct sales team and online marketing programs;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development of new solutions and new features for, and enhancements of, our existing services;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and infrastructure organically and through acquisitions and strategic partnerships; and</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risk management, accounting, and other expenses related to being a public company.</w:t>
      </w:r>
    </w:p>
    <w:p>
      <w:pPr>
        <w:spacing w:after="0" w:line="8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2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10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other risks described herein, factors that may affect our operating results include the following:</w:t>
      </w:r>
    </w:p>
    <w:p>
      <w:pPr>
        <w:spacing w:after="0" w:line="94"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digital solutions and e-commerce offerings;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retain and increase adoption by our existing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preference for cloud-based services as a result of security breaches in the industry or privacy concerns, or other security or reliability concerns regarding our solutions;</w:t>
      </w:r>
    </w:p>
    <w:p>
      <w:pPr>
        <w:spacing w:after="0" w:line="94"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in the timing of their budget and billing cycles and purchasing decisions;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implementation timeline of our solutions with new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existing clients choosing our competitors’ solutions or developing their own solutions in-house;</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or introduction of new solutions that are easier to use or more advanced than our current solutions;</w:t>
      </w:r>
    </w:p>
    <w:p>
      <w:pPr>
        <w:spacing w:after="0" w:line="80"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retention of more entrenched or rival services in the markets where we compete or plan to compete;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80"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share-based compensation, goodwill impairments and other non-cash charges;</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as well as economic conditions specifically affecting industries in which our clients operate;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technical difficulties with, or interruptions to, the delivery and use of our solutions from our technology vendors, and/or our own developed technology;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55"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US$0.25 million of outstanding principal amount of the term loans under our existing credit facility at interest rates which are subject to market fluctuation. These term loans gradually mature in 2024 to 2027. Our indebtedness and related obligations could have important future consequences to us, such as:</w:t>
      </w:r>
    </w:p>
    <w:p>
      <w:pPr>
        <w:spacing w:after="0" w:line="112" w:lineRule="exact"/>
        <w:rPr>
          <w:sz w:val="20"/>
          <w:szCs w:val="20"/>
          <w:color w:val="auto"/>
        </w:rPr>
      </w:pPr>
    </w:p>
    <w:p>
      <w:pPr>
        <w:ind w:left="1320" w:right="7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spacing w:after="0" w:line="94"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80"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6"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95"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88"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90"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implement our growth strategies successfully which would limit our growth and cause the market price of our ADS to decline.</w:t>
      </w:r>
    </w:p>
    <w:p>
      <w:pPr>
        <w:spacing w:after="0" w:line="9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implement successfully our growth strategies. We expect to invest substantial amounts to:</w:t>
      </w:r>
    </w:p>
    <w:p>
      <w:pPr>
        <w:spacing w:after="0" w:line="81"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Tridentity offerings;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new solutions and add features and functionality to existing solutions;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salesforce and marketing to win new clients;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our existing clients;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verticals and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or strategic investments;</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systems architecture, scalability, availability, performance and network security;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Our investment in these programs will affect adversely our short-term profitability. This would impact revenues adversely and cause our business to suffer.</w:t>
      </w:r>
    </w:p>
    <w:p>
      <w:pPr>
        <w:spacing w:after="0" w:line="15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7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60" w:lineRule="exact"/>
        <w:rPr>
          <w:sz w:val="20"/>
          <w:szCs w:val="20"/>
          <w:color w:val="auto"/>
        </w:rPr>
      </w:pPr>
    </w:p>
    <w:p>
      <w:pPr>
        <w:jc w:val="both"/>
        <w:ind w:left="4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9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16" w:lineRule="exact"/>
        <w:rPr>
          <w:sz w:val="20"/>
          <w:szCs w:val="20"/>
          <w:color w:val="auto"/>
        </w:rPr>
      </w:pPr>
    </w:p>
    <w:p>
      <w:pPr>
        <w:ind w:left="1320" w:right="579" w:hanging="434"/>
        <w:spacing w:after="0" w:line="258"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115" w:lineRule="exact"/>
        <w:rPr>
          <w:rFonts w:ascii="Times New Roman" w:cs="Times New Roman" w:eastAsia="Times New Roman" w:hAnsi="Times New Roman"/>
          <w:sz w:val="18"/>
          <w:szCs w:val="18"/>
          <w:color w:val="auto"/>
        </w:rPr>
      </w:pPr>
    </w:p>
    <w:p>
      <w:pPr>
        <w:jc w:val="both"/>
        <w:ind w:left="1320" w:right="59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57"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business;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financial maintenance covenants; and</w:t>
      </w:r>
    </w:p>
    <w:p>
      <w:pPr>
        <w:spacing w:after="0" w:line="67"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shareholders may be diluted and earnings per share may decrease.</w:t>
      </w:r>
    </w:p>
    <w:p>
      <w:pPr>
        <w:spacing w:after="0" w:line="67"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81"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189" w:lineRule="exact"/>
        <w:rPr>
          <w:sz w:val="20"/>
          <w:szCs w:val="20"/>
          <w:color w:val="auto"/>
        </w:rPr>
      </w:pPr>
    </w:p>
    <w:p>
      <w:pPr>
        <w:ind w:left="4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infrastructure may adversely affect our business, results of operations and financial condition.</w:t>
      </w:r>
    </w:p>
    <w:p>
      <w:pPr>
        <w:spacing w:after="0" w:line="6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86" w:lineRule="exact"/>
        <w:rPr>
          <w:sz w:val="20"/>
          <w:szCs w:val="20"/>
          <w:color w:val="auto"/>
        </w:rPr>
      </w:pPr>
    </w:p>
    <w:p>
      <w:pPr>
        <w:ind w:left="46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reliable performance of Internet infrastructure, bandwidth providers, data center providers, cloud providers, mobile infrastructure, and other third parties.</w:t>
      </w:r>
    </w:p>
    <w:p>
      <w:pPr>
        <w:spacing w:after="0" w:line="6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9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23"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85"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or proprietary rights could substantially harm our business and results of operations.</w:t>
      </w:r>
    </w:p>
    <w:p>
      <w:pPr>
        <w:spacing w:after="0" w:line="9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As of December 31, 2023, we have one registered trademark in Singapore. See “</w:t>
      </w:r>
      <w:r>
        <w:rPr>
          <w:rFonts w:ascii="Times New Roman" w:cs="Times New Roman" w:eastAsia="Times New Roman" w:hAnsi="Times New Roman"/>
          <w:sz w:val="18"/>
          <w:szCs w:val="18"/>
          <w:i w:val="1"/>
          <w:iCs w:val="1"/>
          <w:color w:val="auto"/>
        </w:rPr>
        <w:t>Business — Intellectual Property.</w:t>
      </w:r>
      <w:r>
        <w:rPr>
          <w:rFonts w:ascii="Times New Roman" w:cs="Times New Roman" w:eastAsia="Times New Roman" w:hAnsi="Times New Roman"/>
          <w:sz w:val="18"/>
          <w:szCs w:val="18"/>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12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6" w:lineRule="auto"/>
        <w:rPr>
          <w:sz w:val="20"/>
          <w:szCs w:val="20"/>
          <w:color w:val="auto"/>
        </w:rPr>
      </w:pPr>
      <w:r>
        <w:rPr>
          <w:rFonts w:ascii="Times New Roman" w:cs="Times New Roman" w:eastAsia="Times New Roman" w:hAnsi="Times New Roman"/>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technology and software licensed from third parties.</w:t>
      </w:r>
    </w:p>
    <w:p>
      <w:pPr>
        <w:spacing w:after="0" w:line="162" w:lineRule="exact"/>
        <w:rPr>
          <w:sz w:val="20"/>
          <w:szCs w:val="20"/>
          <w:color w:val="auto"/>
        </w:rPr>
      </w:pPr>
    </w:p>
    <w:p>
      <w:pPr>
        <w:jc w:val="both"/>
        <w:ind w:left="460" w:right="679" w:firstLine="432"/>
        <w:spacing w:after="0" w:line="257" w:lineRule="auto"/>
        <w:rPr>
          <w:sz w:val="20"/>
          <w:szCs w:val="20"/>
          <w:color w:val="auto"/>
        </w:rPr>
      </w:pPr>
      <w:r>
        <w:rPr>
          <w:rFonts w:ascii="Times New Roman" w:cs="Times New Roman" w:eastAsia="Times New Roman" w:hAnsi="Times New Roman"/>
          <w:sz w:val="18"/>
          <w:szCs w:val="18"/>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1" w:lineRule="exact"/>
        <w:rPr>
          <w:sz w:val="20"/>
          <w:szCs w:val="20"/>
          <w:color w:val="auto"/>
        </w:rPr>
      </w:pPr>
    </w:p>
    <w:p>
      <w:pPr>
        <w:ind w:left="460" w:right="699"/>
        <w:spacing w:after="0" w:line="252" w:lineRule="auto"/>
        <w:rPr>
          <w:sz w:val="20"/>
          <w:szCs w:val="20"/>
          <w:color w:val="auto"/>
        </w:rPr>
      </w:pPr>
      <w:r>
        <w:rPr>
          <w:rFonts w:ascii="Times New Roman" w:cs="Times New Roman" w:eastAsia="Times New Roman" w:hAnsi="Times New Roman"/>
          <w:sz w:val="18"/>
          <w:szCs w:val="18"/>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2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79" w:lineRule="exact"/>
        <w:rPr>
          <w:sz w:val="20"/>
          <w:szCs w:val="20"/>
          <w:color w:val="auto"/>
        </w:rPr>
      </w:pPr>
    </w:p>
    <w:p>
      <w:pPr>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83" w:lineRule="exact"/>
        <w:rPr>
          <w:sz w:val="20"/>
          <w:szCs w:val="20"/>
          <w:color w:val="auto"/>
        </w:rPr>
      </w:pPr>
    </w:p>
    <w:p>
      <w:pPr>
        <w:ind w:left="46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3"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7" w:lineRule="auto"/>
        <w:rPr>
          <w:sz w:val="20"/>
          <w:szCs w:val="20"/>
          <w:color w:val="auto"/>
        </w:rPr>
      </w:pPr>
      <w:r>
        <w:rPr>
          <w:rFonts w:ascii="Times New Roman" w:cs="Times New Roman" w:eastAsia="Times New Roman" w:hAnsi="Times New Roman"/>
          <w:sz w:val="17"/>
          <w:szCs w:val="17"/>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72" w:lineRule="exact"/>
        <w:rPr>
          <w:sz w:val="20"/>
          <w:szCs w:val="20"/>
          <w:color w:val="auto"/>
        </w:rPr>
      </w:pPr>
    </w:p>
    <w:p>
      <w:pPr>
        <w:ind w:left="460" w:right="7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0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11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89" w:lineRule="auto"/>
        <w:rPr>
          <w:sz w:val="20"/>
          <w:szCs w:val="20"/>
          <w:color w:val="auto"/>
        </w:rPr>
      </w:pPr>
      <w:r>
        <w:rPr>
          <w:rFonts w:ascii="Times New Roman" w:cs="Times New Roman" w:eastAsia="Times New Roman" w:hAnsi="Times New Roman"/>
          <w:sz w:val="17"/>
          <w:szCs w:val="17"/>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54"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7"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91" w:lineRule="exact"/>
        <w:rPr>
          <w:sz w:val="20"/>
          <w:szCs w:val="20"/>
          <w:color w:val="auto"/>
        </w:rPr>
      </w:pPr>
    </w:p>
    <w:p>
      <w:pPr>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0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109"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62"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Jurisdictions Where We Operate</w:t>
      </w:r>
    </w:p>
    <w:p>
      <w:pPr>
        <w:spacing w:after="0" w:line="225" w:lineRule="exact"/>
        <w:rPr>
          <w:sz w:val="20"/>
          <w:szCs w:val="20"/>
          <w:color w:val="auto"/>
        </w:rPr>
      </w:pPr>
    </w:p>
    <w:p>
      <w:pPr>
        <w:ind w:left="4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4" w:lineRule="exact"/>
        <w:rPr>
          <w:sz w:val="20"/>
          <w:szCs w:val="20"/>
          <w:color w:val="auto"/>
        </w:rPr>
      </w:pPr>
    </w:p>
    <w:p>
      <w:pPr>
        <w:ind w:left="4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9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4" w:lineRule="exact"/>
        <w:rPr>
          <w:sz w:val="20"/>
          <w:szCs w:val="20"/>
          <w:color w:val="auto"/>
        </w:rPr>
      </w:pPr>
    </w:p>
    <w:p>
      <w:pPr>
        <w:ind w:left="4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225"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our ADSs may not develop and the trading price for our ADSs may fluctuate significantly.</w:t>
      </w:r>
    </w:p>
    <w:p>
      <w:pPr>
        <w:spacing w:after="0" w:line="7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88"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9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2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85"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our founder, chairman of board of directors and chief executive officer, Mr. Soon Huat Lim, will together beneficially own all of our issued Class A ordinary shares. These Class A ordinary shares will constitute approximately 9.7% of our total issued and outstanding share capital immediately after the completion of this offering and 86.5%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86" w:lineRule="exact"/>
        <w:rPr>
          <w:sz w:val="20"/>
          <w:szCs w:val="20"/>
          <w:color w:val="auto"/>
        </w:rPr>
      </w:pPr>
    </w:p>
    <w:p>
      <w:pPr>
        <w:jc w:val="both"/>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07"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9" w:lineRule="exact"/>
        <w:rPr>
          <w:sz w:val="20"/>
          <w:szCs w:val="20"/>
          <w:color w:val="auto"/>
        </w:rPr>
      </w:pPr>
    </w:p>
    <w:p>
      <w:pPr>
        <w:ind w:left="4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99"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89"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91"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of the Public Offering ADSs.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89" w:lineRule="auto"/>
        <w:rPr>
          <w:sz w:val="20"/>
          <w:szCs w:val="20"/>
          <w:color w:val="auto"/>
        </w:rPr>
      </w:pPr>
      <w:r>
        <w:rPr>
          <w:rFonts w:ascii="Times New Roman" w:cs="Times New Roman" w:eastAsia="Times New Roman" w:hAnsi="Times New Roman"/>
          <w:sz w:val="17"/>
          <w:szCs w:val="17"/>
          <w:color w:val="auto"/>
        </w:rPr>
        <w:t>In addition, you may experience 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40" w:lineRule="exact"/>
        <w:rPr>
          <w:sz w:val="20"/>
          <w:szCs w:val="20"/>
          <w:color w:val="auto"/>
        </w:rPr>
      </w:pPr>
    </w:p>
    <w:p>
      <w:pPr>
        <w:ind w:left="4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of the Public Offering ADSs and we may use these proceeds in ways with which you may not agree.</w:t>
      </w:r>
    </w:p>
    <w:p>
      <w:pPr>
        <w:spacing w:after="0" w:line="6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of the Public Offering ADSs,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of the Public Offering ADSs.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71"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64"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7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6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78"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9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499"/>
        <w:spacing w:after="0" w:line="267" w:lineRule="auto"/>
        <w:rPr>
          <w:sz w:val="20"/>
          <w:szCs w:val="20"/>
          <w:color w:val="auto"/>
        </w:rPr>
      </w:pPr>
      <w:r>
        <w:rPr>
          <w:rFonts w:ascii="Times New Roman" w:cs="Times New Roman" w:eastAsia="Times New Roman" w:hAnsi="Times New Roman"/>
          <w:sz w:val="17"/>
          <w:szCs w:val="17"/>
          <w:color w:val="auto"/>
        </w:rPr>
        <w:t>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397" w:lineRule="exact"/>
        <w:rPr>
          <w:sz w:val="20"/>
          <w:szCs w:val="20"/>
          <w:color w:val="auto"/>
        </w:rPr>
      </w:pPr>
    </w:p>
    <w:p>
      <w:pPr>
        <w:jc w:val="both"/>
        <w:ind w:left="4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6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08" w:lineRule="exact"/>
        <w:rPr>
          <w:sz w:val="20"/>
          <w:szCs w:val="20"/>
          <w:color w:val="auto"/>
        </w:rPr>
      </w:pPr>
    </w:p>
    <w:p>
      <w:pPr>
        <w:ind w:left="1320" w:right="77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08"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9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9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35"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w:t>
      </w:r>
    </w:p>
    <w:p>
      <w:pPr>
        <w:spacing w:after="0" w:line="7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7"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4"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3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19"/>
        <w:spacing w:after="0" w:line="261" w:lineRule="auto"/>
        <w:rPr>
          <w:sz w:val="20"/>
          <w:szCs w:val="20"/>
          <w:color w:val="auto"/>
        </w:rPr>
      </w:pPr>
      <w:r>
        <w:rPr>
          <w:rFonts w:ascii="Times New Roman" w:cs="Times New Roman" w:eastAsia="Times New Roman" w:hAnsi="Times New Roman"/>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4" w:lineRule="exact"/>
        <w:rPr>
          <w:sz w:val="20"/>
          <w:szCs w:val="20"/>
          <w:color w:val="auto"/>
        </w:rPr>
      </w:pPr>
    </w:p>
    <w:p>
      <w:pPr>
        <w:ind w:left="460" w:right="1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7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4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56" w:lineRule="auto"/>
        <w:rPr>
          <w:sz w:val="20"/>
          <w:szCs w:val="20"/>
          <w:color w:val="auto"/>
        </w:rPr>
      </w:pPr>
      <w:r>
        <w:rPr>
          <w:rFonts w:ascii="Times New Roman" w:cs="Times New Roman" w:eastAsia="Times New Roman" w:hAnsi="Times New Roman"/>
          <w:sz w:val="18"/>
          <w:szCs w:val="18"/>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83" w:lineRule="exact"/>
        <w:rPr>
          <w:sz w:val="20"/>
          <w:szCs w:val="20"/>
          <w:color w:val="auto"/>
        </w:rPr>
      </w:pPr>
    </w:p>
    <w:p>
      <w:pPr>
        <w:ind w:left="4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91"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B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spacing w:after="0" w:line="12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2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76" w:lineRule="exact"/>
        <w:rPr>
          <w:sz w:val="20"/>
          <w:szCs w:val="20"/>
          <w:color w:val="auto"/>
        </w:rPr>
      </w:pPr>
    </w:p>
    <w:p>
      <w:pPr>
        <w:ind w:left="4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68" w:lineRule="exact"/>
        <w:rPr>
          <w:sz w:val="20"/>
          <w:szCs w:val="20"/>
          <w:color w:val="auto"/>
        </w:rPr>
      </w:pPr>
    </w:p>
    <w:p>
      <w:pPr>
        <w:jc w:val="both"/>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Times New Roman" w:cs="Times New Roman" w:eastAsia="Times New Roman" w:hAnsi="Times New Roman"/>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5" w:lineRule="exact"/>
        <w:rPr>
          <w:sz w:val="20"/>
          <w:szCs w:val="20"/>
          <w:color w:val="auto"/>
        </w:rPr>
      </w:pPr>
    </w:p>
    <w:p>
      <w:pPr>
        <w:jc w:val="both"/>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4" w:lineRule="exact"/>
        <w:rPr>
          <w:sz w:val="20"/>
          <w:szCs w:val="20"/>
          <w:color w:val="auto"/>
        </w:rPr>
      </w:pPr>
    </w:p>
    <w:p>
      <w:pPr>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Because we are a foreign private issuer under the Exchange Act, we are exempt from certain provisions of the securities rules and regulations in the United States that are applicable to U.S. domestic issuers, including:</w:t>
      </w:r>
    </w:p>
    <w:p>
      <w:pPr>
        <w:spacing w:after="0" w:line="32" w:lineRule="exact"/>
        <w:rPr>
          <w:sz w:val="20"/>
          <w:szCs w:val="20"/>
          <w:color w:val="auto"/>
        </w:rPr>
      </w:pPr>
    </w:p>
    <w:p>
      <w:pPr>
        <w:ind w:left="1320" w:right="6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53"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320" w:right="499" w:hanging="434"/>
        <w:spacing w:after="0" w:line="312" w:lineRule="auto"/>
        <w:tabs>
          <w:tab w:leader="none" w:pos="13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w:t>
      </w:r>
    </w:p>
    <w:p>
      <w:pPr>
        <w:spacing w:after="0" w:line="31"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selective disclosure rules by issuers of material nonpublic information under Regulation FD; and</w:t>
      </w:r>
    </w:p>
    <w:p>
      <w:pPr>
        <w:spacing w:after="0" w:line="128"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08"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160" w:lineRule="exact"/>
        <w:rPr>
          <w:sz w:val="20"/>
          <w:szCs w:val="20"/>
          <w:color w:val="auto"/>
        </w:rPr>
      </w:pPr>
    </w:p>
    <w:p>
      <w:pPr>
        <w:jc w:val="both"/>
        <w:ind w:left="460" w:right="9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We will be a “controlled company” as defined under the Nasdaq Stock Market Rules upon the completion of this offering. Upon the completion of this offering, Mr. Soon Huat Lim, our founder, chairman of board of directors and chief executive officer will beneficially own 48.7% of our total issued and outstanding ordinary shares, representing 92.4% of the total voting power, assuming no exercise of the underwriter’s over-allotment option.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including the proceeds from this offering of the Public Offering ADSs,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w:t>
      </w:r>
    </w:p>
    <w:p>
      <w:pPr>
        <w:spacing w:after="0" w:line="148" w:lineRule="exact"/>
        <w:rPr>
          <w:sz w:val="20"/>
          <w:szCs w:val="20"/>
          <w:color w:val="auto"/>
        </w:rPr>
      </w:pPr>
    </w:p>
    <w:p>
      <w:pPr>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Upon the completion of this offering, we will become a public company and expect to incur significant legal, accounting and other expenses that we did not incur as a private company. The Sarbanes-Oxley</w:t>
      </w:r>
    </w:p>
    <w:p>
      <w:pPr>
        <w:spacing w:after="0" w:line="1"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4" w:lineRule="exact"/>
        <w:rPr>
          <w:sz w:val="20"/>
          <w:szCs w:val="20"/>
          <w:color w:val="auto"/>
        </w:rPr>
      </w:pPr>
    </w:p>
    <w:p>
      <w:pPr>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72" w:lineRule="exact"/>
        <w:rPr>
          <w:sz w:val="20"/>
          <w:szCs w:val="20"/>
          <w:color w:val="auto"/>
        </w:rPr>
      </w:pPr>
    </w:p>
    <w:p>
      <w:pPr>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3"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10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 ii) lack of robust and formal period-end financial reporting policies and procedures in place to address complex U.S. GAAP technical accounting and the SEC reporting requirements; and iii) lack of sufficient controls designed and implemented in IT environment and IT general control activities, mainly associated with areas of access logical security, system change management, IT operations and cyber security monitoring activities.</w:t>
      </w:r>
    </w:p>
    <w:p>
      <w:pPr>
        <w:spacing w:after="0" w:line="127" w:lineRule="exact"/>
        <w:rPr>
          <w:sz w:val="20"/>
          <w:szCs w:val="20"/>
          <w:color w:val="auto"/>
        </w:rPr>
      </w:pPr>
    </w:p>
    <w:p>
      <w:pPr>
        <w:ind w:left="460" w:right="539" w:firstLine="432"/>
        <w:spacing w:after="0" w:line="312" w:lineRule="auto"/>
        <w:rPr>
          <w:sz w:val="20"/>
          <w:szCs w:val="20"/>
          <w:color w:val="auto"/>
        </w:rPr>
      </w:pPr>
      <w:r>
        <w:rPr>
          <w:rFonts w:ascii="Times New Roman" w:cs="Times New Roman" w:eastAsia="Times New Roman" w:hAnsi="Times New Roman"/>
          <w:sz w:val="17"/>
          <w:szCs w:val="17"/>
          <w:color w:val="auto"/>
        </w:rPr>
        <w:t>In response to the material weaknesses identified prior to this offering, we are in the process of implementing a number of measures to address the material weaknesses identified, including but not limited to:</w:t>
      </w:r>
    </w:p>
    <w:p>
      <w:pPr>
        <w:spacing w:after="0" w:line="72" w:lineRule="exact"/>
        <w:rPr>
          <w:sz w:val="20"/>
          <w:szCs w:val="20"/>
          <w:color w:val="auto"/>
        </w:rPr>
      </w:pPr>
    </w:p>
    <w:p>
      <w:pPr>
        <w:ind w:left="1320" w:right="10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comprehensive set of processes and internal controls to timely and appropriately;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transactions that may be subject to complex U.S. GAAP accounting treatment;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the transactions in accordance with the relevant U.S. GAAP;</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accounting technical analysis;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08" w:lineRule="exact"/>
        <w:rPr>
          <w:rFonts w:ascii="Times New Roman" w:cs="Times New Roman" w:eastAsia="Times New Roman" w:hAnsi="Times New Roman"/>
          <w:sz w:val="18"/>
          <w:szCs w:val="18"/>
          <w:color w:val="auto"/>
        </w:rPr>
      </w:pPr>
    </w:p>
    <w:p>
      <w:pPr>
        <w:jc w:val="both"/>
        <w:ind w:left="1320" w:right="799" w:hanging="434"/>
        <w:spacing w:after="0" w:line="312" w:lineRule="auto"/>
        <w:tabs>
          <w:tab w:leader="none" w:pos="13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strengthening the supervision and controls on the IT functions, including the enhancement of IT security policies and procedures setup, logical security, data backup and cyber security training.</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27"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3"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78"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90"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9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73" w:lineRule="auto"/>
        <w:rPr>
          <w:sz w:val="20"/>
          <w:szCs w:val="20"/>
          <w:color w:val="auto"/>
        </w:rPr>
      </w:pPr>
      <w:r>
        <w:rPr>
          <w:rFonts w:ascii="Times New Roman" w:cs="Times New Roman" w:eastAsia="Times New Roman" w:hAnsi="Times New Roman"/>
          <w:sz w:val="17"/>
          <w:szCs w:val="17"/>
          <w:color w:val="auto"/>
        </w:rPr>
        <w:t>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could be subject to rapid and substantial volatility.</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12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88" w:lineRule="exact"/>
        <w:rPr>
          <w:sz w:val="20"/>
          <w:szCs w:val="20"/>
          <w:color w:val="auto"/>
        </w:rPr>
      </w:pPr>
    </w:p>
    <w:p>
      <w:pPr>
        <w:ind w:left="4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may be substantial sales of our ADSs by the Selling Shareholder after the effective date of this registration statement of which this prospectus forms a part, which could have a material adverse effect on the price of our ADSs after this offering of Public Offering ADSs.</w:t>
      </w:r>
    </w:p>
    <w:p>
      <w:pPr>
        <w:spacing w:after="0" w:line="9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also registers on behalf of the Selling Shareholder an aggregate of 3,125,000 ADSs representing 25,000,000 Class B ordinary shares. The Selling Shareholder, however, will not be required to sell any or all of its respective Shareholder ADSs or, conversely, the Selling Shareholder may choose to sell its respective Shareholder ADSs at its own initiative. Sales of a substantial number of ADSs representing our Class B ordinary shares by the Selling Shareholder after the effective date of the registration statement of which this prospectus forms a part could cause the market price of our ADSs to drop (possibly below the initial public offering price of the Public Offering ADSs in this offering of Public Offering ADSs) and could impair our ability to raise capital in the future by selling additional Company securities.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0"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digital solutions and e-commerce market in Singapore, Southeast Asia and globally;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24"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10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estimate that the aggregate net proceeds to us from this offering of approximately US$8.13 million of the Public Offering ADSs, after deducting underwriting discounts, non-accountable expense allowance and estimated expenses payable by us in connection with this offering, and assuming an initial offering price of US$6.00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US$6.00 per ADS would increase (decrease) the net proceeds of this offering of the Public Offering ADSs by approximately US$1.80 million.</w:t>
      </w:r>
    </w:p>
    <w:p>
      <w:pPr>
        <w:spacing w:after="0" w:line="121" w:lineRule="exact"/>
        <w:rPr>
          <w:sz w:val="20"/>
          <w:szCs w:val="20"/>
          <w:color w:val="auto"/>
        </w:rPr>
      </w:pPr>
    </w:p>
    <w:p>
      <w:pPr>
        <w:ind w:left="460" w:right="959"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Shareholder ADSs by the Selling Shareholder pursuant to the Resale Prospectus.</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of the Public Offering ADSs for the following purposes:</w:t>
      </w:r>
    </w:p>
    <w:p>
      <w:pPr>
        <w:spacing w:after="0" w:line="99" w:lineRule="exact"/>
        <w:rPr>
          <w:sz w:val="20"/>
          <w:szCs w:val="20"/>
          <w:color w:val="auto"/>
        </w:rPr>
      </w:pPr>
    </w:p>
    <w:p>
      <w:pPr>
        <w:ind w:left="1320" w:right="7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of the net proceeds for research and development, including development of infrastructure for our Web 3.0 e-commerce platform and further investment in our solutions;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of the net proceeds for investment in the Singapore market; and</w:t>
      </w:r>
    </w:p>
    <w:p>
      <w:pPr>
        <w:spacing w:after="0" w:line="157" w:lineRule="exact"/>
        <w:rPr>
          <w:rFonts w:ascii="Times New Roman" w:cs="Times New Roman" w:eastAsia="Times New Roman" w:hAnsi="Times New Roman"/>
          <w:sz w:val="18"/>
          <w:szCs w:val="18"/>
          <w:color w:val="auto"/>
        </w:rPr>
      </w:pPr>
    </w:p>
    <w:p>
      <w:pPr>
        <w:jc w:val="both"/>
        <w:ind w:left="1320" w:right="49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95"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of the Public Offering ADSs and we may use these proceeds in ways with which you may not agree.”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7"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2023:</w:t>
      </w:r>
    </w:p>
    <w:p>
      <w:pPr>
        <w:spacing w:after="0" w:line="104" w:lineRule="exact"/>
        <w:rPr>
          <w:sz w:val="20"/>
          <w:szCs w:val="20"/>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(i) the issuance and sale of 14,400,000 Class B ordinary shares in the form of ADSs by us in this offering with no exercise of over-allotment option,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 and (ii) the issuance and sale of 16,560,000 Class B ordinary shares in the form of ADSs by us in this offering if with full exercise of the over-allotment option, at the initial public offering price of US$6.00 per ADS, the midpoint of the estimated range of the initial public offering price shown on the front cover this prospectus, after deducting the underwriting discounts and commissions and estimated offering expenses payable by us.</w:t>
      </w:r>
    </w:p>
    <w:p>
      <w:pPr>
        <w:spacing w:after="0" w:line="59" w:lineRule="exact"/>
        <w:rPr>
          <w:sz w:val="20"/>
          <w:szCs w:val="20"/>
          <w:color w:val="auto"/>
        </w:rPr>
      </w:pPr>
    </w:p>
    <w:p>
      <w:pPr>
        <w:ind w:left="460" w:right="539" w:firstLine="432"/>
        <w:spacing w:after="0" w:line="274" w:lineRule="auto"/>
        <w:rPr>
          <w:sz w:val="20"/>
          <w:szCs w:val="20"/>
          <w:color w:val="auto"/>
        </w:rPr>
      </w:pPr>
      <w:r>
        <w:rPr>
          <w:rFonts w:ascii="Times New Roman" w:cs="Times New Roman" w:eastAsia="Times New Roman" w:hAnsi="Times New Roman"/>
          <w:sz w:val="17"/>
          <w:szCs w:val="17"/>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46"/>
        </w:trPr>
        <w:tc>
          <w:tcPr>
            <w:tcW w:w="47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As Adjusted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(Full Exercise of</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c>
          <w:tcPr>
            <w:tcW w:w="0" w:type="dxa"/>
            <w:vAlign w:val="bottom"/>
          </w:tcPr>
          <w:p>
            <w:pPr>
              <w:spacing w:after="0"/>
              <w:rPr>
                <w:sz w:val="1"/>
                <w:szCs w:val="1"/>
                <w:color w:val="auto"/>
              </w:rPr>
            </w:pPr>
          </w:p>
        </w:tc>
      </w:tr>
      <w:tr>
        <w:trPr>
          <w:trHeight w:val="255"/>
        </w:trPr>
        <w:tc>
          <w:tcPr>
            <w:tcW w:w="4740" w:type="dxa"/>
            <w:vAlign w:val="bottom"/>
          </w:tcPr>
          <w:p>
            <w:pPr>
              <w:spacing w:after="0"/>
              <w:rPr>
                <w:sz w:val="22"/>
                <w:szCs w:val="22"/>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2"/>
                <w:szCs w:val="22"/>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As Adjusted</w:t>
            </w:r>
            <w:r>
              <w:rPr>
                <w:rFonts w:ascii="Times New Roman" w:cs="Times New Roman" w:eastAsia="Times New Roman" w:hAnsi="Times New Roman"/>
                <w:sz w:val="18"/>
                <w:szCs w:val="18"/>
                <w:b w:val="1"/>
                <w:bCs w:val="1"/>
                <w:color w:val="auto"/>
                <w:w w:val="97"/>
                <w:vertAlign w:val="superscript"/>
              </w:rPr>
              <w:t>(1)</w:t>
            </w:r>
          </w:p>
        </w:tc>
        <w:tc>
          <w:tcPr>
            <w:tcW w:w="80" w:type="dxa"/>
            <w:vAlign w:val="bottom"/>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Option)</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US$</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US$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US$</w:t>
            </w:r>
          </w:p>
        </w:tc>
        <w:tc>
          <w:tcPr>
            <w:tcW w:w="0" w:type="dxa"/>
            <w:vAlign w:val="bottom"/>
          </w:tcPr>
          <w:p>
            <w:pPr>
              <w:spacing w:after="0"/>
              <w:rPr>
                <w:sz w:val="1"/>
                <w:szCs w:val="1"/>
                <w:color w:val="auto"/>
              </w:rPr>
            </w:pPr>
          </w:p>
        </w:tc>
      </w:tr>
      <w:tr>
        <w:trPr>
          <w:trHeight w:val="47"/>
        </w:trPr>
        <w:tc>
          <w:tcPr>
            <w:tcW w:w="4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68,987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68,987</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176,589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176,589</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1,000,000,000 Class A ordinary shares authorized,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50,000,000 and 50,000,000 Class A ordinary shares issued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31, 2023 and 2022,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4,000,000,000 Class B ordinary shares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451,964,286 and 360,205,000 Class B ordinary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8,426,684</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16,558,359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18,048,737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(6,183,545)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(6,183,545)</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(6,183,545)</w:t>
            </w:r>
          </w:p>
        </w:tc>
        <w:tc>
          <w:tcPr>
            <w:tcW w:w="0" w:type="dxa"/>
            <w:vAlign w:val="bottom"/>
          </w:tcPr>
          <w:p>
            <w:pPr>
              <w:spacing w:after="0"/>
              <w:rPr>
                <w:sz w:val="1"/>
                <w:szCs w:val="1"/>
                <w:color w:val="auto"/>
              </w:rPr>
            </w:pPr>
          </w:p>
        </w:tc>
      </w:tr>
      <w:tr>
        <w:trPr>
          <w:trHeight w:val="25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184,491</w:t>
            </w:r>
          </w:p>
        </w:tc>
        <w:tc>
          <w:tcPr>
            <w:tcW w:w="10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184,491</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10,564,469</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12,054,869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vMerge w:val="continue"/>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13,961,762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15,452,162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99" w:hanging="426"/>
        <w:spacing w:after="0" w:line="265"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3" w:lineRule="exact"/>
        <w:rPr>
          <w:rFonts w:ascii="Times New Roman" w:cs="Times New Roman" w:eastAsia="Times New Roman" w:hAnsi="Times New Roman"/>
          <w:sz w:val="16"/>
          <w:szCs w:val="16"/>
          <w:color w:val="auto"/>
        </w:rPr>
      </w:pPr>
    </w:p>
    <w:p>
      <w:pPr>
        <w:ind w:left="880" w:right="579" w:hanging="426"/>
        <w:spacing w:after="0" w:line="268"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16,560,000 Class B ordinary shares in the form of ADSs by us in this offering with full exercise of the over-allotment option at the initial public offering price of US$6.00 per ADS, the midpoint of the estimated range of the initial public offering price shown on the front cover this prospectus, after deducting the underwriting discounts and commissions and estimated offering expenses payable by us. The pro forma as adjusted (Full Exercise of Over-Allotment Option) information is illustrative only, and we will adjust this information based on the actual initial public offering price and other terms of this offering determined at pricing.</w:t>
      </w:r>
    </w:p>
    <w:p>
      <w:pPr>
        <w:sectPr>
          <w:pgSz w:w="11900" w:h="16838" w:orient="portrait"/>
          <w:cols w:equalWidth="0" w:num="1">
            <w:col w:w="9019"/>
          </w:cols>
          <w:pgMar w:left="1440" w:top="270" w:right="1440" w:bottom="1055"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55"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actual net tangible book value as of December 31, 2023 was approximately US$1.39 million in equity, or US$0.003 per ordinary share in equity and US$0.02 per ADS in equity, respectively as of such date.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US$6.00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24"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Without taking into account any other changes in actual as adjusted net tangible book value after December 31, 2023, other than to give effect to our sale of the ADSs offered in this offering at the assumed initial public offering price of US$6.00 per ADS, which is the midpoint of the estimated initial public offering price range shown on the front cover of this prospectus, after deduction of the underwriting discounts and commissions and estimated offering expenses payable by us, the pro forma as adjusted net tangible book value as of December 31, 2023 would have been US$9.52 million, or US$0.02 per ordinary share and US$0.16 per ADS. This represents an immediate increase in actual as adjusted net tangible book value of US$0.017 per ordinary share and US$0.14 per ADS to the existing shareholders and an immediate dilution in actual as adjusted net tangible book value of US$0.73 per ordinary share and US$5.84 per ADS to investors purchasing ADSs in this offering. The following table illustrates such dilution: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Per ordinary</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2"/>
        </w:trPr>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340" w:type="dxa"/>
            <w:vAlign w:val="bottom"/>
          </w:tcPr>
          <w:p>
            <w:pPr>
              <w:spacing w:after="0"/>
              <w:rPr>
                <w:sz w:val="18"/>
                <w:szCs w:val="18"/>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as of December 31, 2023</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US$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0.003</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40"/>
        </w:trPr>
        <w:tc>
          <w:tcPr>
            <w:tcW w:w="5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 this</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55"/>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US$</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 of dilution in actual as adjusted net tangible book value to new</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US$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bl>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US$6.00 per ADS would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increase (decrease) the pro forma as adjusted net tangible book value after giving effect to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US$1.66 million, the pro forma as adjusted net tangible book value per ordinary share and per ADS after giving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 to this offering by US$0.002 per ordinary share and US$0.01 per ADS, and the dilution in the pro forma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adjusted net tangible book value per ordinary share and per ADS to new investors in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US$0.73 per ordinary share and US$5.83 per ADS, assuming no change to the number of ADSs offered by us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set forth on the front cover of this prospectus, and after deducting underwriting discounts and commissions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estimated offering expenses payable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December 31,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Ordinary Shares Purchased</w:t>
            </w:r>
          </w:p>
        </w:tc>
        <w:tc>
          <w:tcPr>
            <w:tcW w:w="380" w:type="dxa"/>
            <w:vAlign w:val="bottom"/>
          </w:tcPr>
          <w:p>
            <w:pPr>
              <w:spacing w:after="0"/>
              <w:rPr>
                <w:sz w:val="17"/>
                <w:szCs w:val="17"/>
                <w:color w:val="auto"/>
              </w:rPr>
            </w:pPr>
          </w:p>
        </w:tc>
        <w:tc>
          <w:tcPr>
            <w:tcW w:w="192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Ordinary</w:t>
            </w:r>
          </w:p>
        </w:tc>
        <w:tc>
          <w:tcPr>
            <w:tcW w:w="80" w:type="dxa"/>
            <w:vAlign w:val="bottom"/>
          </w:tcPr>
          <w:p>
            <w:pPr>
              <w:spacing w:after="0"/>
              <w:rPr>
                <w:sz w:val="10"/>
                <w:szCs w:val="10"/>
                <w:color w:val="auto"/>
              </w:rPr>
            </w:pPr>
          </w:p>
        </w:tc>
        <w:tc>
          <w:tcPr>
            <w:tcW w:w="92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3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ADS</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501,964,286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8,603,742</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US$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10,800,000</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55.7% US$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516,364,286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19,403,742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08" w:lineRule="exact"/>
        <w:rPr>
          <w:sz w:val="20"/>
          <w:szCs w:val="20"/>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94" w:lineRule="exact"/>
        <w:rPr>
          <w:sz w:val="20"/>
          <w:szCs w:val="20"/>
          <w:color w:val="auto"/>
        </w:rPr>
      </w:pPr>
    </w:p>
    <w:p>
      <w:pPr>
        <w:ind w:left="1320" w:right="679" w:hanging="434"/>
        <w:spacing w:after="0" w:line="26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8" w:lineRule="exact"/>
        <w:rPr>
          <w:rFonts w:ascii="Times New Roman" w:cs="Times New Roman" w:eastAsia="Times New Roman" w:hAnsi="Times New Roman"/>
          <w:sz w:val="18"/>
          <w:szCs w:val="18"/>
          <w:color w:val="auto"/>
        </w:rPr>
      </w:pPr>
    </w:p>
    <w:p>
      <w:pPr>
        <w:ind w:left="1320" w:right="133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2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as our agent upon whom process may be served in any action brought against us under the securities laws of the United States.</w:t>
      </w:r>
    </w:p>
    <w:p>
      <w:pPr>
        <w:spacing w:after="0" w:line="107"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10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08" w:lineRule="exact"/>
        <w:rPr>
          <w:sz w:val="20"/>
          <w:szCs w:val="20"/>
          <w:color w:val="auto"/>
        </w:rPr>
      </w:pPr>
    </w:p>
    <w:p>
      <w:pPr>
        <w:jc w:val="both"/>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Cayman Islands court may stay enforcement proceedings if concurrent proceedings are being brought elsewhere.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9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102870</wp:posOffset>
            </wp:positionV>
            <wp:extent cx="3034665" cy="1791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2023 and 2022 and summary consolidated balance sheet data as of December 31, 2023 and 2022 have been derived from our audited consolidated financial statements included elsewhere in this prospectus.</w:t>
      </w:r>
    </w:p>
    <w:p>
      <w:pPr>
        <w:spacing w:after="0" w:line="11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1,483,109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1,262,899</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(1,000,689)</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262,210</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(241,344)</w:t>
            </w: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(989,774)</w:t>
            </w:r>
          </w:p>
        </w:tc>
      </w:tr>
      <w:tr>
        <w:trPr>
          <w:trHeight w:val="41"/>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(287,578)</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(4,786)</w:t>
            </w: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136,576</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131,790</w:t>
            </w: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(4,774,087)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60" w:type="dxa"/>
            <w:vAlign w:val="bottom"/>
          </w:tcPr>
          <w:p>
            <w:pPr>
              <w:spacing w:after="0"/>
              <w:rPr>
                <w:sz w:val="19"/>
                <w:szCs w:val="19"/>
                <w:color w:val="auto"/>
              </w:rPr>
            </w:pPr>
          </w:p>
        </w:tc>
      </w:tr>
      <w:tr>
        <w:trPr>
          <w:trHeight w:val="36"/>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(4,793)</w:t>
            </w: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0"/>
        </w:trPr>
        <w:tc>
          <w:tcPr>
            <w:tcW w:w="5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222,279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(37,482)</w:t>
            </w: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558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454,940,744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55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0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341,808</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1,046,187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451,217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60" w:type="dxa"/>
            <w:vAlign w:val="bottom"/>
            <w:tcBorders>
              <w:bottom w:val="single" w:sz="8" w:color="CCEEFF"/>
            </w:tcBorders>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c>
          <w:tcPr>
            <w:tcW w:w="0" w:type="dxa"/>
            <w:vAlign w:val="bottom"/>
          </w:tcPr>
          <w:p>
            <w:pPr>
              <w:spacing w:after="0"/>
              <w:rPr>
                <w:sz w:val="1"/>
                <w:szCs w:val="1"/>
                <w:color w:val="auto"/>
              </w:rPr>
            </w:pPr>
          </w:p>
        </w:tc>
      </w:tr>
      <w:tr>
        <w:trPr>
          <w:trHeight w:val="40"/>
        </w:trPr>
        <w:tc>
          <w:tcPr>
            <w:tcW w:w="34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1,378,257</w:t>
            </w:r>
          </w:p>
        </w:tc>
        <w:tc>
          <w:tcPr>
            <w:tcW w:w="0" w:type="dxa"/>
            <w:vAlign w:val="bottom"/>
          </w:tcPr>
          <w:p>
            <w:pPr>
              <w:spacing w:after="0"/>
              <w:rPr>
                <w:sz w:val="1"/>
                <w:szCs w:val="1"/>
                <w:color w:val="auto"/>
              </w:rPr>
            </w:pPr>
          </w:p>
        </w:tc>
      </w:tr>
      <w:tr>
        <w:trPr>
          <w:trHeight w:val="25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863,338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104" w:lineRule="exact"/>
        <w:rPr>
          <w:sz w:val="20"/>
          <w:szCs w:val="20"/>
          <w:color w:val="auto"/>
        </w:rPr>
      </w:pPr>
    </w:p>
    <w:p>
      <w:pPr>
        <w:ind w:left="1320" w:right="479" w:hanging="434"/>
        <w:spacing w:after="0" w:line="259"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460" w:right="999" w:firstLine="432"/>
        <w:spacing w:after="0" w:line="266" w:lineRule="auto"/>
        <w:rPr>
          <w:sz w:val="20"/>
          <w:szCs w:val="20"/>
          <w:color w:val="auto"/>
        </w:rPr>
      </w:pPr>
      <w:r>
        <w:rPr>
          <w:rFonts w:ascii="Times New Roman" w:cs="Times New Roman" w:eastAsia="Times New Roman" w:hAnsi="Times New Roman"/>
          <w:sz w:val="18"/>
          <w:szCs w:val="18"/>
          <w:color w:val="auto"/>
        </w:rPr>
        <w:t>We provide customized offerings that address the specific needs of clients in our strategic vertical markets. As of December 31, 2023, we served over 200 clients across our core verticals such as food and beverage, wholesale and retail.</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have launched a Web 3.0 e-commerce platform whereby customers and merchants can transact in a transparent and secure way, or Tridentity, in December 2023. We believe Tridentity addresses a massive market opportunity today and provides us with an attractive runway for growth. According to the Frost &amp; Sullivan Report, the market size of global Web 3.0-enabled e-commerce is expected to reach US$189.3 billion and</w:t>
      </w:r>
    </w:p>
    <w:p>
      <w:pPr>
        <w:spacing w:after="0" w:line="3" w:lineRule="exact"/>
        <w:rPr>
          <w:sz w:val="20"/>
          <w:szCs w:val="20"/>
          <w:color w:val="auto"/>
        </w:rPr>
      </w:pPr>
    </w:p>
    <w:p>
      <w:pPr>
        <w:ind w:left="460" w:right="639"/>
        <w:spacing w:after="0" w:line="251" w:lineRule="auto"/>
        <w:rPr>
          <w:sz w:val="20"/>
          <w:szCs w:val="20"/>
          <w:color w:val="auto"/>
        </w:rPr>
      </w:pPr>
      <w:r>
        <w:rPr>
          <w:rFonts w:ascii="Times New Roman" w:cs="Times New Roman" w:eastAsia="Times New Roman" w:hAnsi="Times New Roman"/>
          <w:sz w:val="18"/>
          <w:szCs w:val="18"/>
          <w:color w:val="auto"/>
        </w:rPr>
        <w:t>US$1,587.4 billion in 2023 and 2027, respectively, representing a CAGR of 70.2% from 2023 to 2027. 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and accounted for 50.2% and 49.8% of our total revenue for the year ended December 31, 2022 respectively. We incurred a net loss of approximately US$4.77 million and US$1.13 million for the year ended December 31, 2023 and 2022, respectively.</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62"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our solutions and services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have launched Tridentity in December 2023. We may continue to expend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clients</w:t>
      </w:r>
    </w:p>
    <w:p>
      <w:pPr>
        <w:spacing w:after="0" w:line="135"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into new verticals and new markets</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35"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We derive revenues principally from providing business consulting services and IT customization services.</w:t>
      </w:r>
    </w:p>
    <w:p>
      <w:pPr>
        <w:spacing w:after="0" w:line="65"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We provide a wide range of business consulting services to customers of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9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We offer IT customization services, including tailor-made IT solutions or packaged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 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88"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We also generate revenue from selling event tickets on behalf of merchants in our own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identify one performance obligation in this business, which is to transfer control of an event ticket to a ticker buyer once an order has been confirmed.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5" w:lineRule="exact"/>
        <w:rPr>
          <w:sz w:val="20"/>
          <w:szCs w:val="20"/>
          <w:color w:val="auto"/>
        </w:rPr>
      </w:pPr>
    </w:p>
    <w:p>
      <w:pPr>
        <w:ind w:left="460" w:right="879" w:firstLine="432"/>
        <w:spacing w:after="0" w:line="257" w:lineRule="auto"/>
        <w:rPr>
          <w:sz w:val="20"/>
          <w:szCs w:val="20"/>
          <w:color w:val="auto"/>
        </w:rPr>
      </w:pPr>
      <w:r>
        <w:rPr>
          <w:rFonts w:ascii="Times New Roman" w:cs="Times New Roman" w:eastAsia="Times New Roman" w:hAnsi="Times New Roman"/>
          <w:sz w:val="18"/>
          <w:szCs w:val="18"/>
          <w:color w:val="auto"/>
        </w:rPr>
        <w:t>Operating expenses include general and administrative expenses, selling expenses and research and development expenses. General and administrative expenses mainly consist of (i) salary and social welfare expenses to the management team, (ii) professional service fees, (iii) rental cost for offices, and</w:t>
      </w:r>
    </w:p>
    <w:p>
      <w:pPr>
        <w:spacing w:after="0" w:line="1" w:lineRule="exact"/>
        <w:rPr>
          <w:sz w:val="20"/>
          <w:szCs w:val="20"/>
          <w:color w:val="auto"/>
        </w:rPr>
      </w:pPr>
    </w:p>
    <w:p>
      <w:pPr>
        <w:ind w:left="460" w:right="579" w:hanging="6"/>
        <w:spacing w:after="0" w:line="265" w:lineRule="auto"/>
        <w:tabs>
          <w:tab w:leader="none" w:pos="76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expenses. Our selling expenses mainly consist of (i) salary and social welfare expenses to the marketing team, and (ii) advertising costs and market promotion expenses. Our research and development expenses mainly consist of (i) system development expenses for Tridentity, our Web 3.0 e-commerce platform;</w:t>
      </w:r>
    </w:p>
    <w:p>
      <w:pPr>
        <w:ind w:left="720" w:hanging="26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and social welfare expenses to the development team and (iii) outsource service fees.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 from terminated consulting projects, (iii) referral commission, and (iv) interest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62"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years ended December 31, 2023 and 2022, respectively.</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08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32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1,483,109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(216,227)</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(313,936)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(2,898,727)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(298,841)</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(3,511,504</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231.22%</w:t>
            </w: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(4,764,007)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(1,256,486)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(3,507,521)</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279.15%</w:t>
            </w:r>
          </w:p>
        </w:tc>
        <w:tc>
          <w:tcPr>
            <w:tcW w:w="0" w:type="dxa"/>
            <w:vAlign w:val="bottom"/>
          </w:tcPr>
          <w:p>
            <w:pPr>
              <w:spacing w:after="0"/>
              <w:rPr>
                <w:sz w:val="1"/>
                <w:szCs w:val="1"/>
                <w:color w:val="auto"/>
              </w:rPr>
            </w:pPr>
          </w:p>
        </w:tc>
      </w:tr>
      <w:tr>
        <w:trPr>
          <w:trHeight w:val="32"/>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(expenses)/income, net</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(10,080)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131,790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(141,870)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-107.65%</w:t>
            </w: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(4,774,087)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(1,124,696)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(3,649,391)</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32"/>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(3,644,598</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322.68%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years ended December 31,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0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321,716</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(307,718)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1,155,229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521,764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571,592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583,637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111,452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6,164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line="20" w:lineRule="exact"/>
              <w:rPr>
                <w:sz w:val="1"/>
                <w:szCs w:val="1"/>
                <w:color w:val="auto"/>
              </w:rPr>
            </w:pPr>
          </w:p>
        </w:tc>
      </w:tr>
      <w:tr>
        <w:trPr>
          <w:trHeight w:val="243"/>
        </w:trPr>
        <w:tc>
          <w:tcPr>
            <w:tcW w:w="3120" w:type="dxa"/>
            <w:vAlign w:val="bottom"/>
            <w:vMerge w:val="continue"/>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1,483,109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220,210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revenues significantly increased from US$1,262,899 in 2022 to US$1,483,109 in 2023, representing a year-on-year increase of 17.44%. The increase was primarily due to our success in helping our clients to optimize and grow their business, resulting in positive feedback and our brand and services developing and expanding in the market and industry, which has brought us more clients and projects in 2023.</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decreased from US$629,434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US$321,716 in 2023, primarily attributed to (i) reduction of business consulting projects were completed, delivered and accepted by customers in 2023; and partially offset by (ii) the appreciation of SGD against USD in our reporting currency translation from 1.3404 in 2022 to 1.3193 in 2023. We continued to offer more comprehensive brand consulting services to assist our customers in building international brands in 2023, and the average contract price of completed projects increased from US$44,960 in 2022 to US$53,619 in 2023.</w:t>
      </w:r>
    </w:p>
    <w:p>
      <w:pPr>
        <w:spacing w:after="0" w:line="115"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US$633,465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to US$1,155,229 for the year ended December 31, 2023, primarily due to (i) our newly engaged business line in providing management software solutions in second quarter of 2022, the business has thrived and generated greater revenue in 2023; (ii) the appreciation of SGD against USD in our reporting currency translation; (iii) the increased of average contract price of IT customization projects from US$57,588 in 2022 to US$63,510 in 2023; and partially offset by (iv) reduction of IT customization projects that were completed, delivered and accepted by customers for the year ended December 31, 2023.</w:t>
      </w:r>
    </w:p>
    <w:p>
      <w:pPr>
        <w:spacing w:after="0" w:line="115" w:lineRule="exact"/>
        <w:rPr>
          <w:sz w:val="20"/>
          <w:szCs w:val="20"/>
          <w:color w:val="auto"/>
        </w:rPr>
      </w:pPr>
    </w:p>
    <w:p>
      <w:pPr>
        <w:jc w:val="both"/>
        <w:ind w:left="460" w:right="7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Our Web 3.0 e-commerce platform, or Tridentity, launched in December 2023. We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US$6,164 from providing technical support for selling tickets on behalf of merchants through this platform.</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years ended December 31, 2023 and 2022 is summarized below:</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2"/>
        </w:trPr>
        <w:tc>
          <w:tcPr>
            <w:tcW w:w="3120" w:type="dxa"/>
            <w:vAlign w:val="bottom"/>
          </w:tcPr>
          <w:p>
            <w:pPr>
              <w:spacing w:after="0"/>
              <w:rPr>
                <w:sz w:val="18"/>
                <w:szCs w:val="18"/>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0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840" w:type="dxa"/>
            <w:vAlign w:val="bottom"/>
          </w:tcPr>
          <w:p>
            <w:pPr>
              <w:spacing w:after="0"/>
              <w:rPr>
                <w:sz w:val="18"/>
                <w:szCs w:val="18"/>
                <w:color w:val="auto"/>
              </w:rPr>
            </w:pPr>
          </w:p>
        </w:tc>
      </w:tr>
      <w:tr>
        <w:trPr>
          <w:trHeight w:val="46"/>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120" w:type="dxa"/>
            <w:vAlign w:val="bottom"/>
          </w:tcPr>
          <w:p>
            <w:pPr>
              <w:spacing w:after="0"/>
              <w:rPr>
                <w:sz w:val="20"/>
                <w:szCs w:val="20"/>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840" w:type="dxa"/>
            <w:vAlign w:val="bottom"/>
          </w:tcPr>
          <w:p>
            <w:pPr>
              <w:spacing w:after="0"/>
              <w:rPr>
                <w:sz w:val="20"/>
                <w:szCs w:val="20"/>
                <w:color w:val="auto"/>
              </w:rPr>
            </w:pPr>
          </w:p>
        </w:tc>
      </w:tr>
      <w:tr>
        <w:trPr>
          <w:trHeight w:val="46"/>
        </w:trPr>
        <w:tc>
          <w:tcPr>
            <w:tcW w:w="3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931,945</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710,793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221,152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263,352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239,296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cost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10,082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40,518</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(21,431)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r>
      <w:tr>
        <w:trPr>
          <w:trHeight w:val="27"/>
        </w:trPr>
        <w:tc>
          <w:tcPr>
            <w:tcW w:w="3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1,216,916</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1,000,689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216,227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increased from US$1,000,689 in 2022 to US$1,216,916 in 2023, representing a year-on-year increase of 21.61%.</w:t>
      </w:r>
    </w:p>
    <w:p>
      <w:pPr>
        <w:spacing w:after="0" w:line="92" w:lineRule="exact"/>
        <w:rPr>
          <w:sz w:val="20"/>
          <w:szCs w:val="20"/>
          <w:color w:val="auto"/>
        </w:rPr>
      </w:pPr>
    </w:p>
    <w:p>
      <w:pPr>
        <w:ind w:left="46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Service fees increased from US$710,793 in 2022 to US$931,945 in 2023,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of service fees paid to suppliers or outsourcers, as a result of the fulfillment of increased project demands in 2023.</w:t>
      </w:r>
    </w:p>
    <w:p>
      <w:pPr>
        <w:spacing w:after="0" w:line="92" w:lineRule="exact"/>
        <w:rPr>
          <w:sz w:val="20"/>
          <w:szCs w:val="20"/>
          <w:color w:val="auto"/>
        </w:rPr>
      </w:pPr>
    </w:p>
    <w:p>
      <w:pPr>
        <w:ind w:left="460" w:right="9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US$239,296 in 2022 to US$263,352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increase in both headcount and bonuses to our staff in 2023.</w:t>
      </w:r>
    </w:p>
    <w:p>
      <w:pPr>
        <w:spacing w:after="0" w:line="91" w:lineRule="exact"/>
        <w:rPr>
          <w:sz w:val="20"/>
          <w:szCs w:val="20"/>
          <w:color w:val="auto"/>
        </w:rPr>
      </w:pPr>
    </w:p>
    <w:p>
      <w:pPr>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Commission costs. </w:t>
      </w:r>
      <w:r>
        <w:rPr>
          <w:rFonts w:ascii="Times New Roman" w:cs="Times New Roman" w:eastAsia="Times New Roman" w:hAnsi="Times New Roman"/>
          <w:sz w:val="18"/>
          <w:szCs w:val="18"/>
          <w:color w:val="auto"/>
        </w:rPr>
        <w:t>Commission costs decreased from US$10,082 in 2022 to US$2,532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attributed to the decreased commission costs needed to obtain new sales contracts related to our newly engaged business line in providing management software solutions in 2023.</w:t>
      </w:r>
    </w:p>
    <w:p>
      <w:pPr>
        <w:spacing w:after="0" w:line="106" w:lineRule="exact"/>
        <w:rPr>
          <w:sz w:val="20"/>
          <w:szCs w:val="20"/>
          <w:color w:val="auto"/>
        </w:rPr>
      </w:pPr>
    </w:p>
    <w:p>
      <w:pPr>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costs. </w:t>
      </w:r>
      <w:r>
        <w:rPr>
          <w:rFonts w:ascii="Times New Roman" w:cs="Times New Roman" w:eastAsia="Times New Roman" w:hAnsi="Times New Roman"/>
          <w:sz w:val="18"/>
          <w:szCs w:val="18"/>
          <w:color w:val="auto"/>
        </w:rPr>
        <w:t>Miscellaneous cost decreased from US$40,518 in 2022 to US$19,087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decrease of our outsourcing contractor fee for general project’s support, which was gradually transferred to in-house team during 2023.</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from US$1,518,696 in 2022 to US$5,030,200 in 2023, representing a year-on-year increase of 231.22%.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46"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Our selling and marketing expenses increased from US$241,344 in 2022 to US$555,280 in 2023, primarily due to (i) the increase in staff costs of US$279,988 as a result of the business development persons hired in the new subsidiary in 2023; (ii) the increase in marketing and advertising expenses of US$29,661 for the exploration of business opportunities and preparation to initiate our Web 3.0 e-commerce platform in 2023.</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general and administrative expenses increased from US$989,774 in 2022 to US$3,888,501 in 2023.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was primarily attributable to (i) the increase in staff costs from US$501,943 in 2022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US$1,589,714 as a result of an increase in the number of employees hired to meet our business needs as well 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increase in average based salaries and bonuses; (ii) the increase in professional service fees from US$134,523 in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to US$1,368,587 in 2023 related to IPO professional services and the initiation of the Web 3.0 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commerce platform; (iii) the increase in rent and utilities expenses of US$268,957 due to additions of operating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leases; and (iv) the increase of other overhead expenses as a result of our expansion of business and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preparation of IPO in 2023.</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from US$287,578 in 2022 to US$586,419 in 2023, primarily due to the increase in system development expenses and technical support expenses for the Web 3.0 e-commerce platform, salary expenses to the development team and outsource service fees.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(expenses)/income, net</w:t>
      </w:r>
    </w:p>
    <w:p>
      <w:pPr>
        <w:spacing w:after="0" w:line="135" w:lineRule="exact"/>
        <w:rPr>
          <w:sz w:val="20"/>
          <w:szCs w:val="20"/>
          <w:color w:val="auto"/>
        </w:rPr>
      </w:pPr>
    </w:p>
    <w:p>
      <w:pPr>
        <w:jc w:val="both"/>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Other (expenses)/income, net mainly consists of (i) government subsidies, (ii) non-refundable service fees from terminated consulting projects, (iii) referral commission, and (iv) interest expenses. Our other income, net decreased from US$131,790 in 2022 to other expenses, net of US$10,080 in 2023, primarily due to the decrease of government subsidies and non-refundable service fees from terminated consulting projects.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35"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foregoing, we incurred a net loss of US$1,129,489 in 2022 and US$4,774,087 in 2023, respectively. The increase in net loss was primarily due to our early-stage input on initiating Web 3.0 e-commerce platform as well as professional services fees incurred in anticipation of becoming a listed company, which led to a significant increase of our operating expenses in 2023.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have been cash flows from our operating activities, capital contributions from shareholders and loans from banks. As of December 31, 2023 and 2022, we had cash of US$1,808,603 and US$945,265, and total positive working capital of US$1,975,908 and negative working capital US$1,236,728, respectively.</w:t>
      </w:r>
    </w:p>
    <w:p>
      <w:pPr>
        <w:spacing w:after="0" w:line="11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incurred net loss of $4,774,087 and $1,129,489 for the years ended December 31, 2023 and 2022, respectively. Net cash used in operating activities were $4,942,098 and $609,946 for the years ended December 31, 2023 and 2022, respectively. Accumulated deficits were $6,183,545 and $1,323,341 as of December 31, 2023 and 2022, respectively.</w:t>
      </w:r>
    </w:p>
    <w:p>
      <w:pPr>
        <w:spacing w:after="0" w:line="9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liquidity is based on its ability to generate cash from operating activities, obtain capital financing from equity interest investors and borrow funds from financial institutions. Our future capital requirements depend on many factors including our growth rate, the continuing market acceptance of our offerings, the timing and extent of spending to support our efforts to develop our platform, the expansion of sales and marketing activities, and the expansion and penetration of our business into different geographies and markets. To enhance our liquidity position or increase our cash reserve for future investments or operations through additional financing activities, we may in the future seek equity financing or obtain credit facilities. The issue of additional equity securities, including convertible debt securities, would result in further dilution to our shareholders. The incurrence of indebtedness would result in increased fixed obligations and could result in operating covenants that would restrict our operations. There can be no assurances, however, that the current operating plan will be achieved or that additional funding will be available on terms acceptable to us, or at all. If we are unable to obtain sufficient funding, it could be required to delay its development efforts and limit activities, which could adversely affect its business and the consolidated financial statements.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Note 3 to the consolidated financial statements discloses all of the matters of which we are aware that are relevant to our ability to continue as a going concern for a reasonable period of time (defined as the time within one year after the date that the financial statements are issued, or available to be issued, where applicable), including significant conditions and events, and management’s plans to mitigate the adverse effects of such conditions and events. There is no approved plan for liquidation and liquidation is not being forced by any other party. As such, we believe that the going concern basis of accounting is appropriate.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1,378,257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863,338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945,265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in 2023 was US$4,942,098, primarily attributable to (i) our net loss of US$4,774,087, as adjusted by the reconciliation of net loss to net cash used in operating activities, which primarily comprised depreciation of right-of-use assets of US$366,852, and depreciation and amortization of US$47,057; and (ii) changes in operating assets and liabilities, which was primarily the result of (a) a decrease in operating lease liabilities of US$340,756, (a) an increase in prepaid expenses and other current assets of US$309,366 as a result of increased prepayments to suppliers, (c) an increase in amounts due from related parties of US$92,295, (d) a decrease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6" w:lineRule="auto"/>
        <w:rPr>
          <w:sz w:val="20"/>
          <w:szCs w:val="20"/>
          <w:color w:val="auto"/>
        </w:rPr>
      </w:pPr>
      <w:r>
        <w:rPr>
          <w:rFonts w:ascii="Times New Roman" w:cs="Times New Roman" w:eastAsia="Times New Roman" w:hAnsi="Times New Roman"/>
          <w:sz w:val="18"/>
          <w:szCs w:val="18"/>
          <w:color w:val="auto"/>
        </w:rPr>
        <w:t>in deferred revenue of US$81,877, (e) an increase in contract cost assets of US$73,299, partially offset by (a) an increase in accrued expenses and other current liabilities of US$286,404, and (b) a decrease in accounts receivable of US$38,177.</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operating activities in 2022 was US$609,946, primarily attributable to (i) our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US$1,129,489, as adjusted by the reconciliation of net loss to net cash used in operating activities,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primarily comprised depreciation of right-of-use assets of US$101,099, and depreciation and amortization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US$16,867; and (ii) changes in operating assets and liabilities, which was primarily the result of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prepaid expenses and other current assets of US$111,981, (b) an increase in contract cost assets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US$268,509, and (c) a decrease in operating lease liabilities of US$127,196, partially offset by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deferred revenue of US$461,128, (b) an increase in accrued expenses and other current liabilities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US$249,052, and (c) an increase in accounts payable of US$166,358.</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2023 was US$139,757, which was primarily attributable to purchase of property and equipment in the amount of US$139,757, mainly expenditure on computer and office equipment, and leasehold improvement.</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US$73,885, which was primarily attributable to purchase of property and equipment in the amount of US$73,885 for our newly established subsidiary.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 2023 was US$5,902,303, which primarily comprised (i) contribution from shareholders of US$8,242,988, (ii) loans from related parties of US$1,047,894, partially offset by (i) repayment of loans from related parties of US$1,814,818, (ii) payment of deferred offering costs of US$903,132, (iii) repayments of long-term bank loans of US$391,520 and (iv) payment of financing costs of US$204,638.</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60" w:lineRule="auto"/>
        <w:tabs>
          <w:tab w:leader="none" w:pos="7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fees advance from a shareholder of US$ 524,560, partially offset by (i) repayment of loans from related parties of US$239,357, and (iii) dividend distribution of US$229,201.</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incurred for purposes of purchasing office and electric equipment and investments in office renovation. Our capital expenditures were US$139,757 and US$73,885 for the years ended December 31, 2023 and 2022, respectively. We intend to fund our future capital expenditures with our existing cash balance and proceeds from this offering. We will continue to make well-planned capital expenditures to meet the expected growth of our business.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under the non-cancellable operating lease with respect to the office and the warehouse as of December 31, 2023 are payable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47"/>
        </w:trPr>
        <w:tc>
          <w:tcPr>
            <w:tcW w:w="318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4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1,783,182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281"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2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9" w:lineRule="exact"/>
        <w:rPr>
          <w:sz w:val="20"/>
          <w:szCs w:val="20"/>
          <w:color w:val="auto"/>
        </w:rPr>
      </w:pPr>
    </w:p>
    <w:p>
      <w:pPr>
        <w:ind w:left="1280" w:hanging="394"/>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144"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Our critical accounting policies and practices include the following: (i) credit losses;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97" w:lineRule="exact"/>
        <w:rPr>
          <w:sz w:val="20"/>
          <w:szCs w:val="20"/>
          <w:color w:val="auto"/>
        </w:rPr>
      </w:pPr>
    </w:p>
    <w:p>
      <w:pPr>
        <w:ind w:left="460" w:right="999" w:firstLine="432"/>
        <w:spacing w:after="0" w:line="276" w:lineRule="auto"/>
        <w:rPr>
          <w:sz w:val="20"/>
          <w:szCs w:val="20"/>
          <w:color w:val="auto"/>
        </w:rPr>
      </w:pPr>
      <w:r>
        <w:rPr>
          <w:rFonts w:ascii="Times New Roman" w:cs="Times New Roman" w:eastAsia="Times New Roman" w:hAnsi="Times New Roman"/>
          <w:sz w:val="17"/>
          <w:szCs w:val="17"/>
          <w:color w:val="auto"/>
        </w:rPr>
        <w:t>We consider an accounting estimate to be critical if: (i) the accounting estimate requires us to make assumptions about matters that were highly uncertain at the time the accounting estimate was made, and</w:t>
      </w:r>
    </w:p>
    <w:p>
      <w:pPr>
        <w:spacing w:after="0" w:line="1" w:lineRule="exact"/>
        <w:rPr>
          <w:sz w:val="20"/>
          <w:szCs w:val="20"/>
          <w:color w:val="auto"/>
        </w:rPr>
      </w:pPr>
    </w:p>
    <w:p>
      <w:pPr>
        <w:ind w:left="460" w:right="499" w:hanging="6"/>
        <w:spacing w:after="0" w:line="253" w:lineRule="auto"/>
        <w:tabs>
          <w:tab w:leader="none" w:pos="7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provision of allowance for credit losses and (ii) valuation allowance of deferred tax assets.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of allowance for credit losses</w:t>
      </w:r>
    </w:p>
    <w:p>
      <w:pPr>
        <w:spacing w:after="0" w:line="14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On January 1, 2023, we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our financial statements.</w:t>
      </w:r>
    </w:p>
    <w:p>
      <w:pPr>
        <w:spacing w:after="0" w:line="12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accounts receivable, amounts due from related parties and other receivables which is included prepaid expenses and other current assets line item in the balance sheet are within the scope of ASC Topic 326. We use an aging schedule method in combination with current situation adjustment, to determine the loss rate of receivable balances and evaluate the expected credit losses on an individual basis. When establishing the loss rate, we make the assessment based on various factors, including aging of receivable balances, historical experience, credit-worthiness of debtor, current economic conditions, reasonable and supportable forecasts of future economic, and other factors that may affect our ability to collect form the debtors. We also apply current situation adjustment to provide specific provisions for allowance when facts and circumstances indicate that the receivable is unlikely to be collected.</w:t>
      </w:r>
    </w:p>
    <w:p>
      <w:pPr>
        <w:spacing w:after="0" w:line="121"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Expected credit losses are indicated in general and administrative expenses in the consolidated statements of operations and comprehensive loss. After all attempts to collect a receivable have failed, the receivable is written off against the allowance. Allowance for doubtful accounts receivable were US$7,299 and nil as of December 31,2023 and 2022, respectively.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deferred tax assets</w:t>
      </w:r>
    </w:p>
    <w:p>
      <w:pPr>
        <w:spacing w:after="0" w:line="146"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2023 and 2022. Thus, management decided to record all of the valuation allowance. Valuation allowance amounted to US$929,574 and US$238,081 as of December 31, 2023 and 2022,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We expect that no material effect of the adoption of this ASU.</w:t>
      </w:r>
    </w:p>
    <w:p>
      <w:pPr>
        <w:spacing w:after="0" w:line="12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 Estate — Real Estate Investment</w:t>
      </w:r>
    </w:p>
    <w:p>
      <w:pPr>
        <w:ind w:left="460" w:right="539"/>
        <w:spacing w:after="0" w:line="251" w:lineRule="auto"/>
        <w:rPr>
          <w:sz w:val="20"/>
          <w:szCs w:val="20"/>
          <w:color w:val="auto"/>
        </w:rPr>
      </w:pPr>
      <w:r>
        <w:rPr>
          <w:rFonts w:ascii="Times New Roman" w:cs="Times New Roman" w:eastAsia="Times New Roman" w:hAnsi="Times New Roman"/>
          <w:sz w:val="18"/>
          <w:szCs w:val="18"/>
          <w:color w:val="auto"/>
        </w:rPr>
        <w:t>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We are in the process of evaluating the effect of the adoption of this ASU.</w:t>
      </w:r>
    </w:p>
    <w:p>
      <w:pPr>
        <w:spacing w:after="0" w:line="126"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We expect the adoption of this ASU will not have a material effect on the consolidated financial statements.</w:t>
      </w:r>
    </w:p>
    <w:p>
      <w:pPr>
        <w:spacing w:after="0" w:line="111"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We do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60"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translation and transaction</w:t>
      </w:r>
    </w:p>
    <w:p>
      <w:pPr>
        <w:spacing w:after="0" w:line="160"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4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1" w:lineRule="exact"/>
        <w:rPr>
          <w:sz w:val="20"/>
          <w:szCs w:val="20"/>
          <w:color w:val="auto"/>
        </w:rPr>
      </w:pPr>
    </w:p>
    <w:p>
      <w:pPr>
        <w:ind w:left="460" w:right="639" w:hanging="6"/>
        <w:spacing w:after="0" w:line="260" w:lineRule="auto"/>
        <w:tabs>
          <w:tab w:leader="none" w:pos="7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branding, design and marketing consulting services; (iii) application development and user experience and user interface interfacing; and (iv) IT consulting solution.</w:t>
      </w:r>
    </w:p>
    <w:p>
      <w:pPr>
        <w:spacing w:after="0" w:line="11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7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10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11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Digital Solutions in Singapore</w:t>
      </w:r>
    </w:p>
    <w:p>
      <w:pPr>
        <w:spacing w:after="0" w:line="146" w:lineRule="exact"/>
        <w:rPr>
          <w:sz w:val="20"/>
          <w:szCs w:val="20"/>
          <w:color w:val="auto"/>
        </w:rPr>
      </w:pPr>
    </w:p>
    <w:p>
      <w:pPr>
        <w:ind w:left="1320" w:right="499" w:hanging="434"/>
        <w:spacing w:after="0" w:line="270" w:lineRule="auto"/>
        <w:tabs>
          <w:tab w:leader="none" w:pos="13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Demand for operational efficiency. </w:t>
      </w:r>
      <w:r>
        <w:rPr>
          <w:rFonts w:ascii="Times New Roman" w:cs="Times New Roman" w:eastAsia="Times New Roman" w:hAnsi="Times New Roman"/>
          <w:sz w:val="17"/>
          <w:szCs w:val="17"/>
          <w:color w:val="auto"/>
        </w:rPr>
        <w:t>Particularly for market entrants of e-commerce platforms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5" w:lineRule="exact"/>
        <w:rPr>
          <w:rFonts w:ascii="Times New Roman" w:cs="Times New Roman" w:eastAsia="Times New Roman" w:hAnsi="Times New Roman"/>
          <w:sz w:val="17"/>
          <w:szCs w:val="17"/>
          <w:color w:val="auto"/>
        </w:rPr>
      </w:pPr>
    </w:p>
    <w:p>
      <w:pPr>
        <w:ind w:left="1320" w:right="499" w:hanging="434"/>
        <w:spacing w:after="0" w:line="256" w:lineRule="auto"/>
        <w:tabs>
          <w:tab w:leader="none" w:pos="131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Robust demand for omnichannel customer experience. </w:t>
      </w:r>
      <w:r>
        <w:rPr>
          <w:rFonts w:ascii="Times New Roman" w:cs="Times New Roman" w:eastAsia="Times New Roman" w:hAnsi="Times New Roman"/>
          <w:sz w:val="18"/>
          <w:szCs w:val="18"/>
          <w:color w:val="auto"/>
        </w:rPr>
        <w:t>With thriving numbers of Internet users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99"/>
        <w:spacing w:after="0" w:line="254" w:lineRule="auto"/>
        <w:rPr>
          <w:sz w:val="20"/>
          <w:szCs w:val="20"/>
          <w:color w:val="auto"/>
        </w:rPr>
      </w:pPr>
      <w:r>
        <w:rPr>
          <w:rFonts w:ascii="Times New Roman" w:cs="Times New Roman" w:eastAsia="Times New Roman" w:hAnsi="Times New Roman"/>
          <w:sz w:val="18"/>
          <w:szCs w:val="18"/>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119" w:lineRule="exact"/>
        <w:rPr>
          <w:sz w:val="20"/>
          <w:szCs w:val="20"/>
          <w:color w:val="auto"/>
        </w:rPr>
      </w:pPr>
    </w:p>
    <w:p>
      <w:pPr>
        <w:ind w:left="1320" w:right="679" w:hanging="434"/>
        <w:spacing w:after="0" w:line="254"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effort in promoting digital economy and society. </w:t>
      </w:r>
      <w:r>
        <w:rPr>
          <w:rFonts w:ascii="Times New Roman" w:cs="Times New Roman" w:eastAsia="Times New Roman" w:hAnsi="Times New Roman"/>
          <w:sz w:val="18"/>
          <w:szCs w:val="18"/>
          <w:color w:val="auto"/>
        </w:rPr>
        <w:t>Singapore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54"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Significant impetus from SMEs. </w:t>
      </w:r>
      <w:r>
        <w:rPr>
          <w:rFonts w:ascii="Times New Roman" w:cs="Times New Roman" w:eastAsia="Times New Roman" w:hAnsi="Times New Roman"/>
          <w:sz w:val="18"/>
          <w:szCs w:val="18"/>
          <w:color w:val="auto"/>
        </w:rPr>
        <w:t>Government support for SME digitalization and skills upgrading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10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Rise of Web 3.0 propelling e-commerce enablement</w:t>
      </w:r>
      <w:r>
        <w:rPr>
          <w:rFonts w:ascii="Times New Roman" w:cs="Times New Roman" w:eastAsia="Times New Roman" w:hAnsi="Times New Roman"/>
          <w:sz w:val="18"/>
          <w:szCs w:val="18"/>
          <w:color w:val="auto"/>
        </w:rPr>
        <w:t>. Web 3.0 primarily focuses on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17" w:lineRule="exact"/>
        <w:rPr>
          <w:rFonts w:ascii="Times New Roman" w:cs="Times New Roman" w:eastAsia="Times New Roman" w:hAnsi="Times New Roman"/>
          <w:sz w:val="18"/>
          <w:szCs w:val="18"/>
          <w:color w:val="auto"/>
        </w:rPr>
      </w:pPr>
    </w:p>
    <w:p>
      <w:pPr>
        <w:ind w:left="1320" w:right="559" w:hanging="434"/>
        <w:spacing w:after="0" w:line="254" w:lineRule="auto"/>
        <w:tabs>
          <w:tab w:leader="none" w:pos="1315"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Demand for advancement in IT infrastructure and analytical tools. </w:t>
      </w:r>
      <w:r>
        <w:rPr>
          <w:rFonts w:ascii="Times New Roman" w:cs="Times New Roman" w:eastAsia="Times New Roman" w:hAnsi="Times New Roman"/>
          <w:sz w:val="18"/>
          <w:szCs w:val="18"/>
          <w:color w:val="auto"/>
        </w:rPr>
        <w:t>Advancements in IT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839"/>
        <w:spacing w:after="0" w:line="289" w:lineRule="auto"/>
        <w:rPr>
          <w:sz w:val="20"/>
          <w:szCs w:val="20"/>
          <w:color w:val="auto"/>
        </w:rPr>
      </w:pPr>
      <w:r>
        <w:rPr>
          <w:rFonts w:ascii="Times New Roman" w:cs="Times New Roman" w:eastAsia="Times New Roman" w:hAnsi="Times New Roman"/>
          <w:sz w:val="17"/>
          <w:szCs w:val="17"/>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Singapore</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SMEs Go Digital Program in Singapore</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08" w:lineRule="exact"/>
        <w:rPr>
          <w:sz w:val="20"/>
          <w:szCs w:val="20"/>
          <w:color w:val="auto"/>
        </w:rPr>
      </w:pPr>
    </w:p>
    <w:p>
      <w:pPr>
        <w:jc w:val="both"/>
        <w:ind w:left="460" w:right="1059" w:firstLine="432"/>
        <w:spacing w:after="0" w:line="266" w:lineRule="auto"/>
        <w:rPr>
          <w:sz w:val="20"/>
          <w:szCs w:val="20"/>
          <w:color w:val="auto"/>
        </w:rPr>
      </w:pPr>
      <w:r>
        <w:rPr>
          <w:rFonts w:ascii="Times New Roman" w:cs="Times New Roman" w:eastAsia="Times New Roman" w:hAnsi="Times New Roman"/>
          <w:sz w:val="18"/>
          <w:szCs w:val="18"/>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80645</wp:posOffset>
            </wp:positionV>
            <wp:extent cx="4989195" cy="1800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more secure, and decentralized.</w:t>
      </w:r>
    </w:p>
    <w:p>
      <w:pPr>
        <w:spacing w:after="0" w:line="9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20"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Web 3.0 E-Commerce</w:t>
      </w:r>
    </w:p>
    <w:p>
      <w:pPr>
        <w:spacing w:after="0" w:line="148" w:lineRule="exact"/>
        <w:rPr>
          <w:sz w:val="20"/>
          <w:szCs w:val="20"/>
          <w:color w:val="auto"/>
        </w:rPr>
      </w:pPr>
    </w:p>
    <w:p>
      <w:pPr>
        <w:ind w:left="460" w:right="1359" w:firstLine="432"/>
        <w:spacing w:after="0" w:line="282" w:lineRule="auto"/>
        <w:rPr>
          <w:sz w:val="20"/>
          <w:szCs w:val="20"/>
          <w:color w:val="auto"/>
        </w:rPr>
      </w:pPr>
      <w:r>
        <w:rPr>
          <w:rFonts w:ascii="Times New Roman" w:cs="Times New Roman" w:eastAsia="Times New Roman" w:hAnsi="Times New Roman"/>
          <w:sz w:val="18"/>
          <w:szCs w:val="18"/>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2434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Web 3.0 E-Commerce in Southeast Asia</w:t>
      </w:r>
    </w:p>
    <w:p>
      <w:pPr>
        <w:spacing w:after="0" w:line="160" w:lineRule="exact"/>
        <w:rPr>
          <w:sz w:val="20"/>
          <w:szCs w:val="20"/>
          <w:color w:val="auto"/>
        </w:rPr>
      </w:pPr>
    </w:p>
    <w:p>
      <w:pPr>
        <w:ind w:left="1320" w:right="479" w:hanging="434"/>
        <w:spacing w:after="0" w:line="253" w:lineRule="auto"/>
        <w:tabs>
          <w:tab w:leader="none" w:pos="131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Improved security, transparency and trust. </w:t>
      </w:r>
      <w:r>
        <w:rPr>
          <w:rFonts w:ascii="Times New Roman" w:cs="Times New Roman" w:eastAsia="Times New Roman" w:hAnsi="Times New Roman"/>
          <w:sz w:val="18"/>
          <w:szCs w:val="18"/>
          <w:color w:val="auto"/>
        </w:rPr>
        <w:t>The key technological advances in Web 3.0,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Enhanced personalized digital experience. </w:t>
      </w:r>
      <w:r>
        <w:rPr>
          <w:rFonts w:ascii="Times New Roman" w:cs="Times New Roman" w:eastAsia="Times New Roman" w:hAnsi="Times New Roman"/>
          <w:sz w:val="18"/>
          <w:szCs w:val="18"/>
          <w:color w:val="auto"/>
        </w:rPr>
        <w:t>Consumers nowadays expect personalized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Times New Roman" w:cs="Times New Roman" w:eastAsia="Times New Roman" w:hAnsi="Times New Roman"/>
          <w:sz w:val="18"/>
          <w:szCs w:val="18"/>
          <w:i w:val="1"/>
          <w:iCs w:val="1"/>
          <w:color w:val="auto"/>
        </w:rPr>
      </w:pPr>
    </w:p>
    <w:p>
      <w:pPr>
        <w:ind w:left="1320" w:right="479" w:hanging="434"/>
        <w:spacing w:after="0" w:line="257"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Variety of user experience. </w:t>
      </w:r>
      <w:r>
        <w:rPr>
          <w:rFonts w:ascii="Times New Roman" w:cs="Times New Roman" w:eastAsia="Times New Roman" w:hAnsi="Times New Roman"/>
          <w:sz w:val="18"/>
          <w:szCs w:val="18"/>
          <w:color w:val="auto"/>
        </w:rPr>
        <w:t>Web 3.0 features advanced technology such as virtual/augmented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5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growing consumer base that embraces technology. </w:t>
      </w:r>
      <w:r>
        <w:rPr>
          <w:rFonts w:ascii="Times New Roman" w:cs="Times New Roman" w:eastAsia="Times New Roman" w:hAnsi="Times New Roman"/>
          <w:sz w:val="18"/>
          <w:szCs w:val="18"/>
          <w:color w:val="auto"/>
        </w:rPr>
        <w:t>With a high Internet penetration rate, a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101" w:lineRule="exact"/>
        <w:rPr>
          <w:rFonts w:ascii="Times New Roman" w:cs="Times New Roman" w:eastAsia="Times New Roman" w:hAnsi="Times New Roman"/>
          <w:sz w:val="18"/>
          <w:szCs w:val="18"/>
          <w:color w:val="auto"/>
        </w:rPr>
      </w:pPr>
    </w:p>
    <w:p>
      <w:pPr>
        <w:ind w:left="1320" w:right="579" w:hanging="434"/>
        <w:spacing w:after="0" w:line="255"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endeavor. </w:t>
      </w:r>
      <w:r>
        <w:rPr>
          <w:rFonts w:ascii="Times New Roman" w:cs="Times New Roman" w:eastAsia="Times New Roman" w:hAnsi="Times New Roman"/>
          <w:sz w:val="18"/>
          <w:szCs w:val="18"/>
          <w:color w:val="auto"/>
        </w:rPr>
        <w:t>Governments in Southeast Asia have generally taken a progressive 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7" w:lineRule="exact"/>
        <w:rPr>
          <w:rFonts w:ascii="Times New Roman" w:cs="Times New Roman" w:eastAsia="Times New Roman" w:hAnsi="Times New Roman"/>
          <w:sz w:val="18"/>
          <w:szCs w:val="18"/>
          <w:color w:val="auto"/>
        </w:rPr>
      </w:pPr>
    </w:p>
    <w:p>
      <w:pPr>
        <w:ind w:left="1320" w:right="519" w:hanging="434"/>
        <w:spacing w:after="0" w:line="255"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Cross-border trade. </w:t>
      </w:r>
      <w:r>
        <w:rPr>
          <w:rFonts w:ascii="Times New Roman" w:cs="Times New Roman" w:eastAsia="Times New Roman" w:hAnsi="Times New Roman"/>
          <w:sz w:val="18"/>
          <w:szCs w:val="18"/>
          <w:color w:val="auto"/>
        </w:rPr>
        <w:t>In 2021, the Southeast Asia countries signed the ASEAN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Opportunities of Web 3.0 E-Commerce in Southeast Asia and Globally</w:t>
      </w:r>
    </w:p>
    <w:p>
      <w:pPr>
        <w:spacing w:after="0" w:line="162" w:lineRule="exact"/>
        <w:rPr>
          <w:sz w:val="20"/>
          <w:szCs w:val="20"/>
          <w:color w:val="auto"/>
        </w:rPr>
      </w:pPr>
    </w:p>
    <w:p>
      <w:pPr>
        <w:jc w:val="both"/>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0" w:lineRule="exact"/>
        <w:rPr>
          <w:sz w:val="20"/>
          <w:szCs w:val="20"/>
          <w:color w:val="auto"/>
        </w:rPr>
      </w:pPr>
    </w:p>
    <w:p>
      <w:pPr>
        <w:ind w:left="1320" w:right="579" w:hanging="434"/>
        <w:spacing w:after="0" w:line="258" w:lineRule="auto"/>
        <w:tabs>
          <w:tab w:leader="none" w:pos="131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Nominal GDP in Southeast Asia. </w:t>
      </w:r>
      <w:r>
        <w:rPr>
          <w:rFonts w:ascii="Times New Roman" w:cs="Times New Roman" w:eastAsia="Times New Roman" w:hAnsi="Times New Roman"/>
          <w:sz w:val="18"/>
          <w:szCs w:val="18"/>
          <w:color w:val="auto"/>
        </w:rPr>
        <w:t>According to The International Monetary Fund, the nominal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559" w:hanging="434"/>
        <w:spacing w:after="0" w:line="256" w:lineRule="auto"/>
        <w:tabs>
          <w:tab w:leader="none" w:pos="131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Number of Internet users in Southeast Asia. </w:t>
      </w:r>
      <w:r>
        <w:rPr>
          <w:rFonts w:ascii="Times New Roman" w:cs="Times New Roman" w:eastAsia="Times New Roman" w:hAnsi="Times New Roman"/>
          <w:sz w:val="18"/>
          <w:szCs w:val="18"/>
          <w:color w:val="auto"/>
        </w:rPr>
        <w:t>In 2022, the number of Internet users in Southeast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15" w:lineRule="exact"/>
        <w:rPr>
          <w:rFonts w:ascii="Times New Roman" w:cs="Times New Roman" w:eastAsia="Times New Roman" w:hAnsi="Times New Roman"/>
          <w:sz w:val="18"/>
          <w:szCs w:val="18"/>
          <w:i w:val="1"/>
          <w:iCs w:val="1"/>
          <w:color w:val="auto"/>
        </w:rPr>
      </w:pPr>
    </w:p>
    <w:p>
      <w:pPr>
        <w:ind w:left="1320" w:right="459" w:hanging="434"/>
        <w:spacing w:after="0" w:line="253"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size of e-commerce in Southeast Asia. </w:t>
      </w:r>
      <w:r>
        <w:rPr>
          <w:rFonts w:ascii="Times New Roman" w:cs="Times New Roman" w:eastAsia="Times New Roman" w:hAnsi="Times New Roman"/>
          <w:sz w:val="18"/>
          <w:szCs w:val="18"/>
          <w:color w:val="auto"/>
        </w:rPr>
        <w:t>The e-commerce industry in the region has grown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92075</wp:posOffset>
            </wp:positionV>
            <wp:extent cx="4594860" cy="1774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6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4011930" cy="213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size of global e-commerce. </w:t>
      </w:r>
      <w:r>
        <w:rPr>
          <w:rFonts w:ascii="Times New Roman" w:cs="Times New Roman" w:eastAsia="Times New Roman" w:hAnsi="Times New Roman"/>
          <w:sz w:val="18"/>
          <w:szCs w:val="18"/>
          <w:color w:val="auto"/>
        </w:rPr>
        <w:t>Rapid urbanization across the globe is one of the key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87630</wp:posOffset>
            </wp:positionV>
            <wp:extent cx="4509135" cy="1654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4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85090</wp:posOffset>
            </wp:positionV>
            <wp:extent cx="3789045" cy="19888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Our mission is to be the leader in Web 3.0 enablement, bridging business to a trusted and secure e-commerce platform with curated customer experience.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10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320" w:right="479" w:hanging="434"/>
        <w:spacing w:after="0" w:line="259"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December 31, 2023, we served over 200 clients across our core verticals such as food and beverage, wholesale and retail.</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accounted for 50.2% and 49.8% of our total revenue for the year ended December 31, 2022 respectively. We incurred net losses of approximately US$4.77 million and US$1.13 million for the years ended December 31, 2023 and 2022,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81"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Leading digital transformation enabler in the SME segment of the e-commerce enablement and digital optimizing services market in Singapore</w:t>
      </w:r>
    </w:p>
    <w:p>
      <w:pPr>
        <w:spacing w:after="0" w:line="7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 Architecture</w:t>
      </w:r>
    </w:p>
    <w:p>
      <w:pPr>
        <w:spacing w:after="0" w:line="13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3"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Unique Perspective and Efficient Operational Capabilities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pacing w:after="0" w:line="120"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Seasoned and Visionary Management Team with International Perspective</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2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a Generational Shift to Web 3.0</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2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operates Tridentity, a Web 3.0 e-commerce platform whereby customers and merchants can transact in a transparent and secure way, launched in December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and Grow our Client Base</w:t>
      </w:r>
    </w:p>
    <w:p>
      <w:pPr>
        <w:spacing w:after="0" w:line="162"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We plan to grow our existing clients by adding product features and additional functionality to our solutions and continuing to drive digital adoption of our existing solutions.</w:t>
      </w:r>
    </w:p>
    <w:p>
      <w:pPr>
        <w:spacing w:after="0" w:line="81"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Broaden our Geographical Reach</w:t>
      </w:r>
    </w:p>
    <w:p>
      <w:pPr>
        <w:spacing w:after="0" w:line="14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Strategic Acquisitions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Our approach, with an eye on execution, combines creative thinking and industry expertise to enable companies to achieve market-leading performance.</w:t>
      </w:r>
    </w:p>
    <w:p>
      <w:pPr>
        <w:spacing w:after="0" w:line="81"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108" w:lineRule="exact"/>
        <w:rPr>
          <w:sz w:val="20"/>
          <w:szCs w:val="20"/>
          <w:color w:val="auto"/>
        </w:rPr>
      </w:pPr>
    </w:p>
    <w:p>
      <w:pPr>
        <w:jc w:val="both"/>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95"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data analysis</w:t>
      </w:r>
    </w:p>
    <w:p>
      <w:pPr>
        <w:spacing w:after="0" w:line="16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Visual identity elements design</w:t>
      </w:r>
    </w:p>
    <w:p>
      <w:pPr>
        <w:spacing w:after="0" w:line="146"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Strategic planning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1"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146" w:lineRule="exact"/>
        <w:rPr>
          <w:sz w:val="20"/>
          <w:szCs w:val="20"/>
          <w:color w:val="auto"/>
        </w:rPr>
      </w:pPr>
    </w:p>
    <w:p>
      <w:pPr>
        <w:ind w:left="460" w:right="739" w:firstLine="432"/>
        <w:spacing w:after="0" w:line="274" w:lineRule="auto"/>
        <w:rPr>
          <w:sz w:val="20"/>
          <w:szCs w:val="20"/>
          <w:color w:val="auto"/>
        </w:rPr>
      </w:pPr>
      <w:r>
        <w:rPr>
          <w:rFonts w:ascii="Times New Roman" w:cs="Times New Roman" w:eastAsia="Times New Roman" w:hAnsi="Times New Roman"/>
          <w:sz w:val="17"/>
          <w:szCs w:val="17"/>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105"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289" w:lineRule="auto"/>
        <w:rPr>
          <w:sz w:val="20"/>
          <w:szCs w:val="20"/>
          <w:color w:val="auto"/>
        </w:rPr>
      </w:pPr>
      <w:r>
        <w:rPr>
          <w:rFonts w:ascii="Times New Roman" w:cs="Times New Roman" w:eastAsia="Times New Roman" w:hAnsi="Times New Roman"/>
          <w:sz w:val="17"/>
          <w:szCs w:val="17"/>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Consulting Services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2" w:lineRule="exact"/>
        <w:rPr>
          <w:sz w:val="20"/>
          <w:szCs w:val="20"/>
          <w:color w:val="auto"/>
        </w:rPr>
      </w:pPr>
    </w:p>
    <w:p>
      <w:pPr>
        <w:ind w:left="1320" w:right="87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and evaluation of client’s business requirements, especially with regard to the size and complexity of the projects to be supported, as well as the client’s customized needs;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key problems and challenges of the current business operation and workflow;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proposed software solution based on client’s requirements;</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of the system features to fulfill our client’s business by revamping and integrating different information technology systems and operational systems;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project’s lifecycle by certified professionals;</w:t>
      </w:r>
    </w:p>
    <w:p>
      <w:pPr>
        <w:spacing w:after="0" w:line="144"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fine-tuned adjustment and customization of software solutions to meet the client’s business needs such as project plan or solution proposal, etc.;</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 implementation strategy that assesses operational impacts and improves ease of learning about the new computerized operations;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 Software Solutions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We offer a range of management software solutions to customers via annual subscriptions, including client relationship management solutions, inventory management solutions.</w:t>
      </w:r>
    </w:p>
    <w:p>
      <w:pPr>
        <w:spacing w:after="0" w:line="9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Web 3.0 E-Commerce Platform</w:t>
      </w:r>
    </w:p>
    <w:p>
      <w:pPr>
        <w:spacing w:after="0" w:line="148" w:lineRule="exact"/>
        <w:rPr>
          <w:sz w:val="20"/>
          <w:szCs w:val="20"/>
          <w:color w:val="auto"/>
        </w:rPr>
      </w:pPr>
    </w:p>
    <w:p>
      <w:pPr>
        <w:jc w:val="both"/>
        <w:ind w:left="460" w:right="879" w:firstLine="432"/>
        <w:spacing w:after="0" w:line="277" w:lineRule="auto"/>
        <w:rPr>
          <w:sz w:val="20"/>
          <w:szCs w:val="20"/>
          <w:color w:val="auto"/>
        </w:rPr>
      </w:pPr>
      <w:r>
        <w:rPr>
          <w:rFonts w:ascii="Times New Roman" w:cs="Times New Roman" w:eastAsia="Times New Roman" w:hAnsi="Times New Roman"/>
          <w:sz w:val="17"/>
          <w:szCs w:val="17"/>
          <w:color w:val="auto"/>
        </w:rPr>
        <w:t>In December 2023, we launched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0" w:lineRule="exact"/>
        <w:rPr>
          <w:sz w:val="20"/>
          <w:szCs w:val="20"/>
          <w:color w:val="auto"/>
        </w:rPr>
      </w:pPr>
    </w:p>
    <w:p>
      <w:pPr>
        <w:ind w:left="460" w:right="559" w:firstLine="432"/>
        <w:spacing w:after="0" w:line="281" w:lineRule="auto"/>
        <w:rPr>
          <w:sz w:val="20"/>
          <w:szCs w:val="20"/>
          <w:color w:val="auto"/>
        </w:rPr>
      </w:pPr>
      <w:r>
        <w:rPr>
          <w:rFonts w:ascii="Times New Roman" w:cs="Times New Roman" w:eastAsia="Times New Roman" w:hAnsi="Times New Roman"/>
          <w:sz w:val="17"/>
          <w:szCs w:val="17"/>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7"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27" w:lineRule="exact"/>
        <w:rPr>
          <w:sz w:val="20"/>
          <w:szCs w:val="20"/>
          <w:color w:val="auto"/>
        </w:rPr>
      </w:pPr>
    </w:p>
    <w:p>
      <w:pPr>
        <w:jc w:val="both"/>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5" w:lineRule="exact"/>
        <w:rPr>
          <w:sz w:val="20"/>
          <w:szCs w:val="20"/>
          <w:color w:val="auto"/>
        </w:rPr>
      </w:pPr>
    </w:p>
    <w:p>
      <w:pPr>
        <w:ind w:left="460" w:right="559"/>
        <w:spacing w:after="0" w:line="253" w:lineRule="auto"/>
        <w:rPr>
          <w:sz w:val="20"/>
          <w:szCs w:val="20"/>
          <w:color w:val="auto"/>
        </w:rPr>
      </w:pPr>
      <w:r>
        <w:rPr>
          <w:rFonts w:ascii="Times New Roman" w:cs="Times New Roman" w:eastAsia="Times New Roman" w:hAnsi="Times New Roman"/>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19"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9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 diversified client base spanning a range of industry verticals, including e-commerce, food and beverage, fintech, healthcare and service, wholesale and retail. As of December 31, 2023, we served over 200 clients across our core verticals such as food and beverage, wholesale and retail, all of whom utilize our services and talent to help them evolve the digital capabilities within their organizations.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solutions are designed from the ground up for speed-to-market, scalability, security, durability, and reliability. The foundational technology that enables these benefits includes:</w:t>
      </w:r>
    </w:p>
    <w:p>
      <w:pPr>
        <w:spacing w:after="0" w:line="81" w:lineRule="exact"/>
        <w:rPr>
          <w:sz w:val="20"/>
          <w:szCs w:val="20"/>
          <w:color w:val="auto"/>
        </w:rPr>
      </w:pPr>
    </w:p>
    <w:p>
      <w:pPr>
        <w:ind w:left="1320" w:right="499" w:hanging="434"/>
        <w:spacing w:after="0" w:line="271" w:lineRule="auto"/>
        <w:tabs>
          <w:tab w:leader="none" w:pos="131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8" w:lineRule="exact"/>
        <w:rPr>
          <w:rFonts w:ascii="Times New Roman" w:cs="Times New Roman" w:eastAsia="Times New Roman" w:hAnsi="Times New Roman"/>
          <w:sz w:val="17"/>
          <w:szCs w:val="17"/>
          <w:color w:val="auto"/>
        </w:rPr>
      </w:pPr>
    </w:p>
    <w:p>
      <w:pPr>
        <w:ind w:left="1320" w:right="459" w:hanging="434"/>
        <w:spacing w:after="0" w:line="258"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8"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56"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2" w:lineRule="exact"/>
        <w:rPr>
          <w:rFonts w:ascii="Times New Roman" w:cs="Times New Roman" w:eastAsia="Times New Roman" w:hAnsi="Times New Roman"/>
          <w:sz w:val="18"/>
          <w:szCs w:val="18"/>
          <w:color w:val="auto"/>
        </w:rPr>
      </w:pPr>
    </w:p>
    <w:p>
      <w:pPr>
        <w:ind w:left="1320" w:right="599" w:hanging="434"/>
        <w:spacing w:after="0" w:line="254"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Maintenance and Support</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99" w:lineRule="exact"/>
        <w:rPr>
          <w:sz w:val="20"/>
          <w:szCs w:val="20"/>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track record and reputation in the industry;</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customization;</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innovation, quality, functionality and design;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partnerships with upstream and downstream partners;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vertical domain experience;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commitment to security and privacy.</w:t>
      </w:r>
    </w:p>
    <w:p>
      <w:pPr>
        <w:spacing w:after="0" w:line="144" w:lineRule="exact"/>
        <w:rPr>
          <w:sz w:val="20"/>
          <w:szCs w:val="20"/>
          <w:color w:val="auto"/>
        </w:rPr>
      </w:pPr>
    </w:p>
    <w:p>
      <w:pPr>
        <w:ind w:left="460" w:right="519" w:firstLine="432"/>
        <w:spacing w:after="0" w:line="273" w:lineRule="auto"/>
        <w:rPr>
          <w:sz w:val="20"/>
          <w:szCs w:val="20"/>
          <w:color w:val="auto"/>
        </w:rPr>
      </w:pPr>
      <w:r>
        <w:rPr>
          <w:rFonts w:ascii="Times New Roman" w:cs="Times New Roman" w:eastAsia="Times New Roman" w:hAnsi="Times New Roman"/>
          <w:sz w:val="17"/>
          <w:szCs w:val="17"/>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35"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where we lease four corporate offices under leases of which all expire in 2027. We also lease one corporate office under lease in Vietnam which expires in 2027. We believe our facilities are adequate and suitable for our current needs, and that should it be needed, suitable additional or alternative space will be available to accommodate our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16"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0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Protecting our intellectual property rights is important to our business. We plan to invest in research and development to enhance our domain knowledge and create complex, specialized solutions for our clients. As of December 31, 2023, we have registered one trademark “TRIDENTITY” (trademark number 40202251004W) in Singapore under Classes 09, 35, 38, 42 and 45 under the International Classification of Goods and Services.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also registered and maintained the domain names “Qzonetech.com” and “Tridentity.me” for our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business operations to ensure that we maintain the ability to engage with our clients, employees, and the public.</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2023, we had a total of 50 full-time employees. We are highly dependent on our management, highly-skilled software engineers, sales and marketing personnel, and other professionals, and it is crucial that we continue to attract and retain valuable employees.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We provide work injury compensation insurance for our employees as required by applicable law and in line with general market practice.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6"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158" w:lineRule="exact"/>
        <w:rPr>
          <w:sz w:val="20"/>
          <w:szCs w:val="20"/>
          <w:color w:val="auto"/>
        </w:rPr>
      </w:pPr>
    </w:p>
    <w:p>
      <w:pPr>
        <w:ind w:left="460" w:right="499" w:firstLine="432"/>
        <w:spacing w:after="0" w:line="259" w:lineRule="auto"/>
        <w:rPr>
          <w:sz w:val="20"/>
          <w:szCs w:val="20"/>
          <w:color w:val="auto"/>
        </w:rPr>
      </w:pPr>
      <w:r>
        <w:rPr>
          <w:rFonts w:ascii="Times New Roman" w:cs="Times New Roman" w:eastAsia="Times New Roman" w:hAnsi="Times New Roman"/>
          <w:sz w:val="18"/>
          <w:szCs w:val="18"/>
          <w:color w:val="auto"/>
        </w:rPr>
        <w:t>The Personal Data Protection Act 2012 of Singapore (the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16"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An organization is required to comply with, amongst other things, the following obligations prescribed by the PDPA:</w:t>
      </w:r>
    </w:p>
    <w:p>
      <w:pPr>
        <w:spacing w:after="0" w:line="79" w:lineRule="exact"/>
        <w:rPr>
          <w:sz w:val="20"/>
          <w:szCs w:val="20"/>
          <w:color w:val="auto"/>
        </w:rPr>
      </w:pPr>
    </w:p>
    <w:p>
      <w:pPr>
        <w:jc w:val="both"/>
        <w:ind w:left="1320" w:right="639" w:hanging="434"/>
        <w:spacing w:after="0" w:line="267" w:lineRule="auto"/>
        <w:tabs>
          <w:tab w:leader="none" w:pos="12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limitation obligation </w:t>
      </w:r>
      <w:r>
        <w:rPr>
          <w:rFonts w:ascii="Times New Roman" w:cs="Times New Roman" w:eastAsia="Times New Roman" w:hAnsi="Times New Roman"/>
          <w:sz w:val="18"/>
          <w:szCs w:val="18"/>
          <w:color w:val="auto"/>
        </w:rPr>
        <w:t>— personal data must be collected, used, disclosed and/or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purposes that a reasonable person would consider appropriate in the circumstances, and if applicable, have been notified to the individual concerned;</w:t>
      </w:r>
    </w:p>
    <w:p>
      <w:pPr>
        <w:spacing w:after="0" w:line="105" w:lineRule="exact"/>
        <w:rPr>
          <w:rFonts w:ascii="Times New Roman" w:cs="Times New Roman" w:eastAsia="Times New Roman" w:hAnsi="Times New Roman"/>
          <w:sz w:val="18"/>
          <w:szCs w:val="18"/>
          <w:color w:val="auto"/>
        </w:rPr>
      </w:pPr>
    </w:p>
    <w:p>
      <w:pPr>
        <w:ind w:left="1320" w:right="679" w:hanging="434"/>
        <w:spacing w:after="0" w:line="267" w:lineRule="auto"/>
        <w:tabs>
          <w:tab w:leader="none" w:pos="1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 obligation </w:t>
      </w:r>
      <w:r>
        <w:rPr>
          <w:rFonts w:ascii="Times New Roman" w:cs="Times New Roman" w:eastAsia="Times New Roman" w:hAnsi="Times New Roman"/>
          <w:sz w:val="18"/>
          <w:szCs w:val="18"/>
          <w:color w:val="auto"/>
        </w:rPr>
        <w:t>— individuals must be notified of the purposes for the collection,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and/or processing of their personal data, prior to such collection, use, disclosure and/or processing;</w:t>
      </w:r>
    </w:p>
    <w:p>
      <w:pPr>
        <w:spacing w:after="0" w:line="105" w:lineRule="exact"/>
        <w:rPr>
          <w:rFonts w:ascii="Times New Roman" w:cs="Times New Roman" w:eastAsia="Times New Roman" w:hAnsi="Times New Roman"/>
          <w:sz w:val="18"/>
          <w:szCs w:val="18"/>
          <w:color w:val="auto"/>
        </w:rPr>
      </w:pPr>
    </w:p>
    <w:p>
      <w:pPr>
        <w:ind w:left="1320" w:right="499" w:hanging="434"/>
        <w:spacing w:after="0" w:line="290" w:lineRule="auto"/>
        <w:tabs>
          <w:tab w:leader="none" w:pos="129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Consent obligation </w:t>
      </w:r>
      <w:r>
        <w:rPr>
          <w:rFonts w:ascii="Times New Roman" w:cs="Times New Roman" w:eastAsia="Times New Roman" w:hAnsi="Times New Roman"/>
          <w:sz w:val="17"/>
          <w:szCs w:val="17"/>
          <w:color w:val="auto"/>
        </w:rPr>
        <w:t>— the consent of individuals must be obtained for any collection, use,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processing of their personal data, unless exception(s) apply. Additionally, an organization must allow the withdrawal of consent which has been given or is deemed to have been given;</w:t>
      </w:r>
    </w:p>
    <w:p>
      <w:pPr>
        <w:spacing w:after="0" w:line="74" w:lineRule="exact"/>
        <w:rPr>
          <w:rFonts w:ascii="Times New Roman" w:cs="Times New Roman" w:eastAsia="Times New Roman" w:hAnsi="Times New Roman"/>
          <w:sz w:val="17"/>
          <w:szCs w:val="17"/>
          <w:color w:val="auto"/>
        </w:rPr>
      </w:pPr>
    </w:p>
    <w:p>
      <w:pPr>
        <w:ind w:left="1320" w:right="479" w:hanging="434"/>
        <w:spacing w:after="0" w:line="277" w:lineRule="auto"/>
        <w:tabs>
          <w:tab w:leader="none" w:pos="128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and correction obligations </w:t>
      </w:r>
      <w:r>
        <w:rPr>
          <w:rFonts w:ascii="Times New Roman" w:cs="Times New Roman" w:eastAsia="Times New Roman" w:hAnsi="Times New Roman"/>
          <w:sz w:val="17"/>
          <w:szCs w:val="17"/>
          <w:color w:val="auto"/>
        </w:rPr>
        <w:t>— when requested by an individual and unless exception(s) apply,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100" w:lineRule="exact"/>
        <w:rPr>
          <w:rFonts w:ascii="Times New Roman" w:cs="Times New Roman" w:eastAsia="Times New Roman" w:hAnsi="Times New Roman"/>
          <w:sz w:val="17"/>
          <w:szCs w:val="17"/>
          <w:color w:val="auto"/>
        </w:rPr>
      </w:pPr>
    </w:p>
    <w:p>
      <w:pPr>
        <w:ind w:left="1320" w:right="519" w:hanging="434"/>
        <w:spacing w:after="0" w:line="261" w:lineRule="auto"/>
        <w:tabs>
          <w:tab w:leader="none" w:pos="12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Accuracy obligation </w:t>
      </w:r>
      <w:r>
        <w:rPr>
          <w:rFonts w:ascii="Times New Roman" w:cs="Times New Roman" w:eastAsia="Times New Roman" w:hAnsi="Times New Roman"/>
          <w:sz w:val="18"/>
          <w:szCs w:val="18"/>
          <w:color w:val="auto"/>
        </w:rPr>
        <w:t>— an organization must make reasonable efforts to ensure that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2"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Protection obligation </w:t>
      </w:r>
      <w:r>
        <w:rPr>
          <w:rFonts w:ascii="Times New Roman" w:cs="Times New Roman" w:eastAsia="Times New Roman" w:hAnsi="Times New Roman"/>
          <w:sz w:val="18"/>
          <w:szCs w:val="18"/>
          <w:color w:val="auto"/>
        </w:rPr>
        <w:t>— an organization must implement reasonable security arrangements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8" w:lineRule="exact"/>
        <w:rPr>
          <w:rFonts w:ascii="Times New Roman" w:cs="Times New Roman" w:eastAsia="Times New Roman" w:hAnsi="Times New Roman"/>
          <w:sz w:val="18"/>
          <w:szCs w:val="18"/>
          <w:color w:val="auto"/>
        </w:rPr>
      </w:pPr>
    </w:p>
    <w:p>
      <w:pPr>
        <w:ind w:left="1320" w:right="659" w:hanging="434"/>
        <w:spacing w:after="0" w:line="315" w:lineRule="auto"/>
        <w:tabs>
          <w:tab w:leader="none" w:pos="128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Retention limitation obligation </w:t>
      </w:r>
      <w:r>
        <w:rPr>
          <w:rFonts w:ascii="Times New Roman" w:cs="Times New Roman" w:eastAsia="Times New Roman" w:hAnsi="Times New Roman"/>
          <w:sz w:val="17"/>
          <w:szCs w:val="17"/>
          <w:color w:val="auto"/>
        </w:rPr>
        <w:t>— an organization must not keep personal data for longer than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fulfil (a) the purposes for which it was collected, or (b) a legal or business purpose;</w:t>
      </w:r>
    </w:p>
    <w:p>
      <w:pPr>
        <w:spacing w:after="0" w:line="67" w:lineRule="exact"/>
        <w:rPr>
          <w:rFonts w:ascii="Times New Roman" w:cs="Times New Roman" w:eastAsia="Times New Roman" w:hAnsi="Times New Roman"/>
          <w:sz w:val="17"/>
          <w:szCs w:val="17"/>
          <w:color w:val="auto"/>
        </w:rPr>
      </w:pPr>
    </w:p>
    <w:p>
      <w:pPr>
        <w:ind w:left="1320" w:right="719" w:hanging="434"/>
        <w:spacing w:after="0" w:line="284" w:lineRule="auto"/>
        <w:tabs>
          <w:tab w:leader="none" w:pos="12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limitation obligation </w:t>
      </w:r>
      <w:r>
        <w:rPr>
          <w:rFonts w:ascii="Times New Roman" w:cs="Times New Roman" w:eastAsia="Times New Roman" w:hAnsi="Times New Roman"/>
          <w:sz w:val="18"/>
          <w:szCs w:val="18"/>
          <w:color w:val="auto"/>
        </w:rPr>
        <w:t>— personal data must not be transferred out of Singapore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requirements prescribed under the PDPA;</w:t>
      </w:r>
    </w:p>
    <w:p>
      <w:pPr>
        <w:spacing w:after="0" w:line="9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Accountability obligation </w:t>
      </w:r>
      <w:r>
        <w:rPr>
          <w:rFonts w:ascii="Times New Roman" w:cs="Times New Roman" w:eastAsia="Times New Roman" w:hAnsi="Times New Roman"/>
          <w:sz w:val="18"/>
          <w:szCs w:val="18"/>
          <w:color w:val="auto"/>
        </w:rPr>
        <w:t>— an organization must implement the necessary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spacing w:after="0" w:line="266" w:lineRule="auto"/>
        <w:rPr>
          <w:sz w:val="20"/>
          <w:szCs w:val="20"/>
          <w:color w:val="auto"/>
        </w:rPr>
      </w:pPr>
      <w:r>
        <w:rPr>
          <w:rFonts w:ascii="Times New Roman" w:cs="Times New Roman" w:eastAsia="Times New Roman" w:hAnsi="Times New Roman"/>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06" w:lineRule="exact"/>
        <w:rPr>
          <w:sz w:val="20"/>
          <w:szCs w:val="20"/>
          <w:color w:val="auto"/>
        </w:rPr>
      </w:pPr>
    </w:p>
    <w:p>
      <w:pPr>
        <w:ind w:left="1320" w:right="519" w:hanging="434"/>
        <w:spacing w:after="0" w:line="256" w:lineRule="auto"/>
        <w:tabs>
          <w:tab w:leader="none" w:pos="12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breach notification obligation </w:t>
      </w:r>
      <w:r>
        <w:rPr>
          <w:rFonts w:ascii="Times New Roman" w:cs="Times New Roman" w:eastAsia="Times New Roman" w:hAnsi="Times New Roman"/>
          <w:sz w:val="18"/>
          <w:szCs w:val="18"/>
          <w:color w:val="auto"/>
        </w:rPr>
        <w:t>— an organization must notify the Singapore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Commission (“</w:t>
      </w:r>
      <w:r>
        <w:rPr>
          <w:rFonts w:ascii="Times New Roman" w:cs="Times New Roman" w:eastAsia="Times New Roman" w:hAnsi="Times New Roman"/>
          <w:sz w:val="18"/>
          <w:szCs w:val="18"/>
          <w:b w:val="1"/>
          <w:bCs w:val="1"/>
          <w:color w:val="auto"/>
        </w:rPr>
        <w:t>PDPC</w:t>
      </w:r>
      <w:r>
        <w:rPr>
          <w:rFonts w:ascii="Times New Roman" w:cs="Times New Roman" w:eastAsia="Times New Roman" w:hAnsi="Times New Roman"/>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15" w:lineRule="exact"/>
        <w:rPr>
          <w:rFonts w:ascii="Times New Roman" w:cs="Times New Roman" w:eastAsia="Times New Roman" w:hAnsi="Times New Roman"/>
          <w:sz w:val="18"/>
          <w:szCs w:val="18"/>
          <w:color w:val="auto"/>
        </w:rPr>
      </w:pPr>
    </w:p>
    <w:p>
      <w:pPr>
        <w:ind w:left="1320" w:right="559" w:hanging="434"/>
        <w:spacing w:after="0" w:line="257" w:lineRule="auto"/>
        <w:tabs>
          <w:tab w:leader="none" w:pos="12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portability obligation </w:t>
      </w:r>
      <w:r>
        <w:rPr>
          <w:rFonts w:ascii="Times New Roman" w:cs="Times New Roman" w:eastAsia="Times New Roman" w:hAnsi="Times New Roman"/>
          <w:sz w:val="18"/>
          <w:szCs w:val="18"/>
          <w:color w:val="auto"/>
        </w:rPr>
        <w:t>— the data portability obligation (which is not yet in force as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03"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to the general data protection obligations imposed under the PDPA, the PDPA also generally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prohibits organizations and individuals from sending direct marketing messages (in the form of voice calls, text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fax messages) to Singapore telephone numbers, including mobile, fixed-line, residential and 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numbers, registered with the Do Not Call Registry (the “</w:t>
      </w:r>
      <w:r>
        <w:rPr>
          <w:rFonts w:ascii="Times New Roman" w:cs="Times New Roman" w:eastAsia="Times New Roman" w:hAnsi="Times New Roman"/>
          <w:sz w:val="18"/>
          <w:szCs w:val="18"/>
          <w:b w:val="1"/>
          <w:bCs w:val="1"/>
          <w:color w:val="auto"/>
        </w:rPr>
        <w:t>DNC Registry</w:t>
      </w:r>
      <w:r>
        <w:rPr>
          <w:rFonts w:ascii="Times New Roman" w:cs="Times New Roman" w:eastAsia="Times New Roman" w:hAnsi="Times New Roman"/>
          <w:sz w:val="18"/>
          <w:szCs w:val="18"/>
          <w:color w:val="auto"/>
        </w:rPr>
        <w:t>”), as maintained by the PDPC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DNC Obligations</w:t>
      </w:r>
      <w:r>
        <w:rPr>
          <w:rFonts w:ascii="Times New Roman" w:cs="Times New Roman" w:eastAsia="Times New Roman" w:hAnsi="Times New Roman"/>
          <w:sz w:val="17"/>
          <w:szCs w:val="17"/>
          <w:color w:val="auto"/>
        </w:rPr>
        <w:t>”). The DNC Obligations only apply to the sending of “specified messages” as defined in the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PDPA, which are marketing messages that offer, promote or advertise goods or services.</w:t>
      </w:r>
    </w:p>
    <w:p>
      <w:pPr>
        <w:spacing w:after="0" w:line="13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w:t>
      </w:r>
    </w:p>
    <w:p>
      <w:pPr>
        <w:spacing w:after="0" w:line="14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The Employment Act 1968 of Singapore (the “</w:t>
      </w:r>
      <w:r>
        <w:rPr>
          <w:rFonts w:ascii="Times New Roman" w:cs="Times New Roman" w:eastAsia="Times New Roman" w:hAnsi="Times New Roman"/>
          <w:sz w:val="18"/>
          <w:szCs w:val="18"/>
          <w:b w:val="1"/>
          <w:bCs w:val="1"/>
          <w:color w:val="auto"/>
        </w:rPr>
        <w:t>Employment Act</w:t>
      </w:r>
      <w:r>
        <w:rPr>
          <w:rFonts w:ascii="Times New Roman" w:cs="Times New Roman" w:eastAsia="Times New Roman" w:hAnsi="Times New Roman"/>
          <w:sz w:val="18"/>
          <w:szCs w:val="18"/>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122"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 and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Teck Lim*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Chwee Koh Chua*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39" w:hanging="426"/>
        <w:spacing w:after="0" w:line="298" w:lineRule="auto"/>
        <w:tabs>
          <w:tab w:leader="none" w:pos="85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has accepted our appointment to be a director of our company, effective upon the SEC’s declaration of effectiveness of our registration statement on Form F-1, of which this prospectus is a part.</w:t>
      </w:r>
    </w:p>
    <w:p>
      <w:pPr>
        <w:spacing w:after="0" w:line="90" w:lineRule="exact"/>
        <w:rPr>
          <w:sz w:val="20"/>
          <w:szCs w:val="20"/>
          <w:color w:val="auto"/>
        </w:rPr>
      </w:pPr>
    </w:p>
    <w:p>
      <w:pPr>
        <w:ind w:left="460" w:right="539" w:firstLine="43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Mr. Soon Huat Lim </w:t>
      </w:r>
      <w:r>
        <w:rPr>
          <w:rFonts w:ascii="Times New Roman" w:cs="Times New Roman" w:eastAsia="Times New Roman" w:hAnsi="Times New Roman"/>
          <w:sz w:val="17"/>
          <w:szCs w:val="17"/>
          <w:color w:val="auto"/>
        </w:rPr>
        <w:t>is our founder, and has served as the chairman of the board of directors and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Haiyan Huang </w:t>
      </w:r>
      <w:r>
        <w:rPr>
          <w:rFonts w:ascii="Times New Roman" w:cs="Times New Roman" w:eastAsia="Times New Roman" w:hAnsi="Times New Roman"/>
          <w:sz w:val="18"/>
          <w:szCs w:val="18"/>
          <w:color w:val="auto"/>
        </w:rPr>
        <w:t>has served as our chief financial officer since the Company’s inception. Ms. Huang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11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Poh Kiong Tan </w:t>
      </w:r>
      <w:r>
        <w:rPr>
          <w:rFonts w:ascii="Times New Roman" w:cs="Times New Roman" w:eastAsia="Times New Roman" w:hAnsi="Times New Roman"/>
          <w:sz w:val="18"/>
          <w:szCs w:val="18"/>
          <w:color w:val="auto"/>
        </w:rPr>
        <w:t>has served as our chief technology officer since the Company’s inception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How Teck Lim </w:t>
      </w:r>
      <w:r>
        <w:rPr>
          <w:rFonts w:ascii="Times New Roman" w:cs="Times New Roman" w:eastAsia="Times New Roman" w:hAnsi="Times New Roman"/>
          <w:sz w:val="18"/>
          <w:szCs w:val="18"/>
          <w:color w:val="auto"/>
        </w:rPr>
        <w:t>is an independent director nominee. Mr. Lim has extensive board,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10"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Dr. Noi Keng Koh </w:t>
      </w:r>
      <w:r>
        <w:rPr>
          <w:rFonts w:ascii="Times New Roman" w:cs="Times New Roman" w:eastAsia="Times New Roman" w:hAnsi="Times New Roman"/>
          <w:sz w:val="17"/>
          <w:szCs w:val="17"/>
          <w:color w:val="auto"/>
        </w:rPr>
        <w:t>is an independent director nominee. Dr. Koh has extensive experience in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10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Chwee Koh Chua </w:t>
      </w:r>
      <w:r>
        <w:rPr>
          <w:rFonts w:ascii="Times New Roman" w:cs="Times New Roman" w:eastAsia="Times New Roman" w:hAnsi="Times New Roman"/>
          <w:sz w:val="18"/>
          <w:szCs w:val="18"/>
          <w:color w:val="auto"/>
        </w:rPr>
        <w:t>is an independent director nominee. Mr. Chua brings with him a wealth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104"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will initially consist of three directors, namely How Teck Lim,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06" w:lineRule="exact"/>
        <w:rPr>
          <w:sz w:val="20"/>
          <w:szCs w:val="20"/>
          <w:color w:val="auto"/>
        </w:rPr>
      </w:pPr>
    </w:p>
    <w:p>
      <w:pPr>
        <w:ind w:left="1320" w:right="59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appointing the independent auditors and pre-approving all auditing and non-auditing services permitted to be performed by such independent auditors;</w:t>
      </w:r>
    </w:p>
    <w:p>
      <w:pPr>
        <w:spacing w:after="0" w:line="94"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our independent auditors;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w:t>
      </w:r>
    </w:p>
    <w:p>
      <w:pPr>
        <w:spacing w:after="0" w:line="157" w:lineRule="exact"/>
        <w:rPr>
          <w:rFonts w:ascii="Times New Roman" w:cs="Times New Roman" w:eastAsia="Times New Roman" w:hAnsi="Times New Roman"/>
          <w:sz w:val="18"/>
          <w:szCs w:val="18"/>
          <w:color w:val="auto"/>
        </w:rPr>
      </w:pPr>
    </w:p>
    <w:p>
      <w:pPr>
        <w:ind w:left="1320" w:right="95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80"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are specifically assigned to our audit committee by our board of directors from time to time.</w:t>
      </w:r>
    </w:p>
    <w:p>
      <w:pPr>
        <w:spacing w:after="0" w:line="90"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will initially consist of three members, namely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How Teck Lim and Chwee Koh Chua. Noi Keng Koh will be the chairwoman of our compensation committee. Each of those three directors satisfies the “independence” requirements of</w:t>
      </w:r>
    </w:p>
    <w:p>
      <w:pPr>
        <w:ind w:left="460" w:right="539"/>
        <w:spacing w:after="0" w:line="252" w:lineRule="auto"/>
        <w:rPr>
          <w:sz w:val="20"/>
          <w:szCs w:val="20"/>
          <w:color w:val="auto"/>
        </w:rPr>
      </w:pPr>
      <w:r>
        <w:rPr>
          <w:rFonts w:ascii="Times New Roman" w:cs="Times New Roman" w:eastAsia="Times New Roman" w:hAnsi="Times New Roman"/>
          <w:sz w:val="18"/>
          <w:szCs w:val="18"/>
          <w:color w:val="auto"/>
        </w:rPr>
        <w:t>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22" w:lineRule="exact"/>
        <w:rPr>
          <w:sz w:val="20"/>
          <w:szCs w:val="20"/>
          <w:color w:val="auto"/>
        </w:rPr>
      </w:pPr>
    </w:p>
    <w:p>
      <w:pPr>
        <w:ind w:left="1320" w:right="91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 the board with respect to the compensation for our chief executive officer and other executive officers;</w:t>
      </w:r>
    </w:p>
    <w:p>
      <w:pPr>
        <w:spacing w:after="0" w:line="80"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non-employee directors;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9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84" w:lineRule="exact"/>
        <w:rPr>
          <w:sz w:val="20"/>
          <w:szCs w:val="20"/>
          <w:color w:val="auto"/>
        </w:rPr>
      </w:pPr>
    </w:p>
    <w:p>
      <w:pPr>
        <w:ind w:left="1320" w:right="81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by the shareholders or appointment by the board of directors;</w:t>
      </w:r>
    </w:p>
    <w:p>
      <w:pPr>
        <w:spacing w:after="0" w:line="53"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6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6"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320" w:right="99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and responsibilities of the officers;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320" w:right="83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77" w:lineRule="auto"/>
        <w:rPr>
          <w:sz w:val="20"/>
          <w:szCs w:val="20"/>
          <w:color w:val="auto"/>
        </w:rPr>
      </w:pPr>
      <w:r>
        <w:rPr>
          <w:rFonts w:ascii="Times New Roman" w:cs="Times New Roman" w:eastAsia="Times New Roman" w:hAnsi="Times New Roman"/>
          <w:sz w:val="17"/>
          <w:szCs w:val="17"/>
          <w:color w:val="auto"/>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10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we paid an aggregate of approximately US$0.95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Executive Compensation Recovery Policy</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have adopted (i) a written code of business conduct and ethics and (ii) executive compensation recovery policy that applies to our officers, and employees, including our chief executive officer, chief financial officer, principal accounting officer or controller or persons performing similar functions (collectively the “Policies”), effective upon the SEC’s declaration of effectiveness of our registration statement on Form F-1, of which this prospectus is a part. Following the effectiveness of the registration statement of which this prospectus is a part, a current copy of the Policies will be posted on our website. The information on our website is deemed not to be incorporated in this prospectus or to be a part of this prospectus. We intend to disclose any amendments to the Policies, and any waivers of the Policies for our directors, executive officers and senior finance executives, on our website to the extent required by applicable U.S. federal securities laws and the corporate governance rules of the Nasdaq Capital Market.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162"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spacing w:after="0" w:line="266" w:lineRule="auto"/>
        <w:rPr>
          <w:sz w:val="20"/>
          <w:szCs w:val="20"/>
          <w:color w:val="auto"/>
        </w:rPr>
      </w:pPr>
      <w:r>
        <w:rPr>
          <w:rFonts w:ascii="Times New Roman" w:cs="Times New Roman" w:eastAsia="Times New Roman" w:hAnsi="Times New Roman"/>
          <w:sz w:val="18"/>
          <w:szCs w:val="18"/>
          <w:color w:val="auto"/>
        </w:rPr>
        <w:t>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Awards under the Equity Incentive Plan</w:t>
      </w:r>
    </w:p>
    <w:p>
      <w:pPr>
        <w:spacing w:after="0" w:line="160"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Share options may be granted under the 2023 Equity Incentive Plan.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1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A restricted share award agreement will specify restrictions on the duration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10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Awards of restricted share units may be granted by the administrator.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the administrator may provide for termination or acceleration of awards, purchase of awards from holders or replacement of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62"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Unless terminated earlier, the 2023 Equity Incentive Plan will continue in effect for a term of ten years from the date of its adoption.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48"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Subject to applicable shareholders’ approval and certain exceptions, the board of directors may at any time amend or terminate the 2023 Equity Incentive Plan.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4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this prospectus by:</w:t>
      </w:r>
    </w:p>
    <w:p>
      <w:pPr>
        <w:spacing w:after="0" w:line="94" w:lineRule="exact"/>
        <w:rPr>
          <w:sz w:val="20"/>
          <w:szCs w:val="20"/>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ordinary shares.</w:t>
      </w:r>
    </w:p>
    <w:p>
      <w:pPr>
        <w:spacing w:after="0" w:line="8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501,964,286 ordinary shares issued and outstanding as of the date of this prospectus, and 50,000,000 Class A ordinary shares and 466,364,286 Class B ordinary shares issued and outstanding immediately after the completion of this offering. All of our issued and outstanding shares are fully paid.</w:t>
      </w:r>
    </w:p>
    <w:p>
      <w:pPr>
        <w:spacing w:after="0" w:line="11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An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An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Basis†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1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Directors and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Huat Lim</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201,444,999</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201,444,999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Poh Kiong Tan</w:t>
            </w:r>
            <w:r>
              <w:rPr>
                <w:rFonts w:ascii="Times New Roman" w:cs="Times New Roman" w:eastAsia="Times New Roman" w:hAnsi="Times New Roman"/>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Haiyan Huang</w:t>
            </w:r>
            <w:r>
              <w:rPr>
                <w:rFonts w:ascii="Times New Roman" w:cs="Times New Roman" w:eastAsia="Times New Roman" w:hAnsi="Times New Roman"/>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executive officers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216,444,999</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93.2</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216,444,999</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Trident Digital Tech</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1"/>
                <w:szCs w:val="21"/>
                <w:color w:val="auto"/>
                <w:vertAlign w:val="superscript"/>
              </w:rPr>
              <w:t>(4)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Trident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Holdings Ltd</w:t>
            </w:r>
            <w:r>
              <w:rPr>
                <w:rFonts w:ascii="Times New Roman" w:cs="Times New Roman" w:eastAsia="Times New Roman" w:hAnsi="Times New Roman"/>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101,811,428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101,811,428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 Wealth Ltd</w:t>
            </w:r>
            <w:r>
              <w:rPr>
                <w:rFonts w:ascii="Times New Roman" w:cs="Times New Roman" w:eastAsia="Times New Roman" w:hAnsi="Times New Roman"/>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99,633,571</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99,633,571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Tai Lee</w:t>
            </w:r>
            <w:r>
              <w:rPr>
                <w:rFonts w:ascii="Times New Roman" w:cs="Times New Roman" w:eastAsia="Times New Roman" w:hAnsi="Times New Roman"/>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8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Yat Hong Lo</w:t>
            </w:r>
            <w:r>
              <w:rPr>
                <w:rFonts w:ascii="Times New Roman" w:cs="Times New Roman" w:eastAsia="Times New Roman" w:hAnsi="Times New Roman"/>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60" w:hanging="406"/>
        <w:spacing w:after="0"/>
        <w:tabs>
          <w:tab w:leader="none" w:pos="8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Suntec Tower 3,</w:t>
      </w:r>
    </w:p>
    <w:p>
      <w:pPr>
        <w:spacing w:after="0" w:line="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8 Temasek Boulevard Road, #24-03 Singapore, 038988.</w:t>
      </w:r>
    </w:p>
    <w:p>
      <w:pPr>
        <w:spacing w:after="0" w:line="19" w:lineRule="exact"/>
        <w:rPr>
          <w:sz w:val="20"/>
          <w:szCs w:val="20"/>
          <w:color w:val="auto"/>
        </w:rPr>
      </w:pPr>
    </w:p>
    <w:p>
      <w:pPr>
        <w:ind w:left="880" w:right="479" w:hanging="426"/>
        <w:spacing w:after="0" w:line="264" w:lineRule="auto"/>
        <w:tabs>
          <w:tab w:leader="none" w:pos="85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ind w:left="880" w:right="539" w:hanging="426"/>
        <w:spacing w:after="0" w:line="264" w:lineRule="auto"/>
        <w:tabs>
          <w:tab w:leader="none" w:pos="85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pacing w:after="0" w:line="1" w:lineRule="exact"/>
        <w:rPr>
          <w:sz w:val="20"/>
          <w:szCs w:val="20"/>
          <w:color w:val="auto"/>
        </w:rPr>
      </w:pPr>
    </w:p>
    <w:p>
      <w:pPr>
        <w:ind w:left="880" w:right="799" w:hanging="426"/>
        <w:spacing w:after="0" w:line="270"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50,000,000 Class A ordinary shares held by Trident Digital Tech Ltd, a company limited by shares incorporated in British Virgin Islands which is wholly owned by Mr. Soon Huat Lim; (ii) 101,811,428 Class B ordinary shares held by Trident Group Holdings Ltd, a company limited by shares incorporated in British Virgin Islands which is wholly owned by Mr. Soon Huat Lim; and (iii) 99,633,571 Class B ordinary shares held by Tri Wealth Ltd, a company</w:t>
      </w:r>
    </w:p>
    <w:p>
      <w:pPr>
        <w:sectPr>
          <w:pgSz w:w="11900" w:h="16838" w:orient="portrait"/>
          <w:cols w:equalWidth="0" w:num="1">
            <w:col w:w="9019"/>
          </w:cols>
          <w:pgMar w:left="1440" w:top="270" w:right="1440" w:bottom="974"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74"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99"/>
        <w:spacing w:after="0" w:line="261" w:lineRule="auto"/>
        <w:rPr>
          <w:sz w:val="20"/>
          <w:szCs w:val="20"/>
          <w:color w:val="auto"/>
        </w:rPr>
      </w:pPr>
      <w:r>
        <w:rPr>
          <w:rFonts w:ascii="Times New Roman" w:cs="Times New Roman" w:eastAsia="Times New Roman" w:hAnsi="Times New Roman"/>
          <w:sz w:val="16"/>
          <w:szCs w:val="16"/>
          <w:color w:val="auto"/>
        </w:rPr>
        <w:t>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spacing w:after="0" w:line="1" w:lineRule="exact"/>
        <w:rPr>
          <w:sz w:val="20"/>
          <w:szCs w:val="20"/>
          <w:color w:val="auto"/>
        </w:rPr>
      </w:pPr>
    </w:p>
    <w:p>
      <w:pPr>
        <w:ind w:left="880" w:hanging="42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10,000,000 Class B ordinary shares directly held by Mr. Poh Kiong Tan.</w:t>
      </w:r>
    </w:p>
    <w:p>
      <w:pPr>
        <w:spacing w:after="0" w:line="18"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ind w:left="880" w:right="59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ind w:left="880" w:right="67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101,811,428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9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99,633,571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ind w:left="880" w:hanging="42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75,000,000 Class B ordinary shares directly held by Mr. Soon Tai Lee.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directly held by Mr. Yat Hong Lo.</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date of this prospectus, none of our ordinary shares are held by record holders in the</w:t>
      </w:r>
    </w:p>
    <w:p>
      <w:pPr>
        <w:spacing w:after="0" w:line="27" w:lineRule="exact"/>
        <w:rPr>
          <w:sz w:val="20"/>
          <w:szCs w:val="20"/>
          <w:color w:val="auto"/>
        </w:rPr>
      </w:pPr>
    </w:p>
    <w:p>
      <w:pPr>
        <w:jc w:val="both"/>
        <w:ind w:left="460" w:right="599"/>
        <w:spacing w:after="0" w:line="255" w:lineRule="auto"/>
        <w:rPr>
          <w:sz w:val="20"/>
          <w:szCs w:val="20"/>
          <w:color w:val="auto"/>
        </w:rPr>
      </w:pPr>
      <w:r>
        <w:rPr>
          <w:rFonts w:ascii="Times New Roman" w:cs="Times New Roman" w:eastAsia="Times New Roman" w:hAnsi="Times New Roman"/>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from related parties</w:t>
      </w:r>
    </w:p>
    <w:p>
      <w:pPr>
        <w:spacing w:after="0" w:line="162" w:lineRule="exact"/>
        <w:rPr>
          <w:sz w:val="20"/>
          <w:szCs w:val="20"/>
          <w:color w:val="auto"/>
        </w:rPr>
      </w:pPr>
    </w:p>
    <w:p>
      <w:pPr>
        <w:jc w:val="both"/>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Trident Consultancy Pte. Ltd., a wholly-owned company of Mr. Soon Huat Lim, our founder, chairman of board of directors and chief executive officer, provided an interest-free loan in the amount of US$957,928 to us to support our operations. The loan was due on demand. The remaining balance of the loan was fully settled in March 2023.</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Mr. Lim has also historically provided short-term financing in the aggregate amount of US$695,404 for us to support our operation. The financing was provided in the form of interest-free short-term borrowings. The short-term borrowings did not have a fixed term and were repayable upon demand. The remaining balance of the short-term borrowings was fully settled in 2023.</w:t>
      </w:r>
    </w:p>
    <w:p>
      <w:pPr>
        <w:spacing w:after="0" w:line="99" w:lineRule="exact"/>
        <w:rPr>
          <w:sz w:val="20"/>
          <w:szCs w:val="20"/>
          <w:color w:val="auto"/>
        </w:rPr>
      </w:pPr>
    </w:p>
    <w:p>
      <w:pPr>
        <w:jc w:val="both"/>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Mr. Poh Kiong Tan, our chief technology officer, has historically provided short-term financing in the aggregate amount of US$143,095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do not intend to receive any financing from related parties after completion of this offering.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to related parties</w:t>
      </w:r>
    </w:p>
    <w:p>
      <w:pPr>
        <w:spacing w:after="0" w:line="162"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Mr. Lim also received US$939,578 investment funds on behalf of the Company during pre-IPO financing in October and December 2023, and the balance due from Mr. Lim was US$250,000 as of December 31, 2023, which was fully paid to us in March 2024.</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2" w:lineRule="exact"/>
        <w:rPr>
          <w:sz w:val="20"/>
          <w:szCs w:val="20"/>
          <w:color w:val="auto"/>
        </w:rPr>
      </w:pPr>
    </w:p>
    <w:p>
      <w:pPr>
        <w:jc w:val="both"/>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As of the date of this prospectus, our authorized share capital is US$50,000 divided into 5,000,000,000 ordinary shares with a par value of US$0.00001 each, comprising (i) 1,000,000,000 Class A ordinary shares,</w:t>
      </w:r>
    </w:p>
    <w:p>
      <w:pPr>
        <w:spacing w:after="0" w:line="1" w:lineRule="exact"/>
        <w:rPr>
          <w:sz w:val="20"/>
          <w:szCs w:val="20"/>
          <w:color w:val="auto"/>
        </w:rPr>
      </w:pPr>
    </w:p>
    <w:p>
      <w:pPr>
        <w:ind w:left="460" w:right="739" w:hanging="6"/>
        <w:spacing w:after="0" w:line="260" w:lineRule="auto"/>
        <w:tabs>
          <w:tab w:leader="none" w:pos="7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4,000,000,000 Class B ordinary shares. As of the date of this prospectus, (i) 50,000,000 Class A ordinary shares, and (ii) 451,964,286 Class B ordinary shares are issued and outstanding.</w:t>
      </w:r>
    </w:p>
    <w:p>
      <w:pPr>
        <w:spacing w:after="0" w:line="114"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Immediately prior to the completion of this offering, our authorized share capital will be changed into US$50,000 divided into 5,000,000,000 ordinary shares with a par value of US$0.00001 each, comprising</w:t>
      </w:r>
    </w:p>
    <w:p>
      <w:pPr>
        <w:spacing w:after="0" w:line="1" w:lineRule="exact"/>
        <w:rPr>
          <w:sz w:val="20"/>
          <w:szCs w:val="20"/>
          <w:color w:val="auto"/>
        </w:rPr>
      </w:pPr>
    </w:p>
    <w:p>
      <w:pPr>
        <w:ind w:left="460" w:right="519" w:hanging="6"/>
        <w:spacing w:after="0" w:line="252" w:lineRule="auto"/>
        <w:tabs>
          <w:tab w:leader="none" w:pos="6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14,400,000 Class B ordinary shares represented by ADSs in this offering. All options, regardless of grant dates, will entitle holders to an equivalent number of ordinary shares once the vesting and exercising conditions are met.</w:t>
      </w:r>
    </w:p>
    <w:p>
      <w:pPr>
        <w:spacing w:after="0" w:line="107"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and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11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A ordinary shares may be converted into the same number of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0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Companies Act, our directors may declare dividends in any currency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2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9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8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16" w:lineRule="exact"/>
        <w:rPr>
          <w:sz w:val="20"/>
          <w:szCs w:val="20"/>
          <w:color w:val="auto"/>
        </w:rPr>
      </w:pPr>
    </w:p>
    <w:p>
      <w:pPr>
        <w:ind w:left="460" w:right="679" w:firstLine="432"/>
        <w:spacing w:after="0" w:line="274" w:lineRule="auto"/>
        <w:rPr>
          <w:sz w:val="20"/>
          <w:szCs w:val="20"/>
          <w:color w:val="auto"/>
        </w:rPr>
      </w:pPr>
      <w:r>
        <w:rPr>
          <w:rFonts w:ascii="Times New Roman" w:cs="Times New Roman" w:eastAsia="Times New Roman" w:hAnsi="Times New Roman"/>
          <w:sz w:val="17"/>
          <w:szCs w:val="17"/>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10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95"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23"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On a show of hands each shareholder is entitled to one vote or, on a poll,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13"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w:t>
      </w:r>
    </w:p>
    <w:p>
      <w:pPr>
        <w:spacing w:after="0" w:line="8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any applicable restrictions set forth in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Capital Market or in another form that our directors may approve.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94" w:lineRule="exact"/>
        <w:rPr>
          <w:sz w:val="20"/>
          <w:szCs w:val="20"/>
          <w:color w:val="auto"/>
        </w:rPr>
      </w:pPr>
    </w:p>
    <w:p>
      <w:pPr>
        <w:ind w:left="1320" w:right="479" w:hanging="434"/>
        <w:spacing w:after="0" w:line="266" w:lineRule="auto"/>
        <w:tabs>
          <w:tab w:leader="none" w:pos="1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Capital Market may determine to be payable or such lesser sum as our directors may from time to time require is paid to us in respect thereof.</w:t>
      </w:r>
    </w:p>
    <w:p>
      <w:pPr>
        <w:spacing w:after="0" w:line="9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any future shares which are issued with specific rights, (1) if we are wound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04" w:lineRule="exact"/>
        <w:rPr>
          <w:sz w:val="20"/>
          <w:szCs w:val="20"/>
          <w:color w:val="auto"/>
        </w:rPr>
      </w:pPr>
    </w:p>
    <w:p>
      <w:pPr>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our memorandum and articles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15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are empowered by the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and our amended and restated articles of association to purchase our own shares, subject to certain restrictions.</w:t>
      </w:r>
    </w:p>
    <w:p>
      <w:pPr>
        <w:spacing w:after="0" w:line="10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99" w:lineRule="exact"/>
        <w:rPr>
          <w:sz w:val="20"/>
          <w:szCs w:val="20"/>
          <w:color w:val="auto"/>
        </w:rPr>
      </w:pPr>
    </w:p>
    <w:p>
      <w:pPr>
        <w:ind w:left="460" w:right="539" w:firstLine="432"/>
        <w:spacing w:after="0" w:line="269" w:lineRule="auto"/>
        <w:rPr>
          <w:sz w:val="20"/>
          <w:szCs w:val="20"/>
          <w:color w:val="auto"/>
        </w:rPr>
      </w:pPr>
      <w:r>
        <w:rPr>
          <w:rFonts w:ascii="Times New Roman" w:cs="Times New Roman" w:eastAsia="Times New Roman" w:hAnsi="Times New Roman"/>
          <w:sz w:val="17"/>
          <w:szCs w:val="17"/>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3" w:lineRule="exact"/>
        <w:rPr>
          <w:sz w:val="20"/>
          <w:szCs w:val="20"/>
          <w:color w:val="auto"/>
        </w:rPr>
      </w:pPr>
    </w:p>
    <w:p>
      <w:pPr>
        <w:jc w:val="both"/>
        <w:ind w:left="460" w:right="679" w:hanging="6"/>
        <w:spacing w:after="0" w:line="255" w:lineRule="auto"/>
        <w:tabs>
          <w:tab w:leader="none" w:pos="7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14"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91" w:lineRule="exact"/>
        <w:rPr>
          <w:sz w:val="20"/>
          <w:szCs w:val="20"/>
          <w:color w:val="auto"/>
        </w:rPr>
      </w:pPr>
    </w:p>
    <w:p>
      <w:pPr>
        <w:ind w:left="460" w:right="5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88" w:lineRule="exact"/>
        <w:rPr>
          <w:sz w:val="20"/>
          <w:szCs w:val="20"/>
          <w:color w:val="auto"/>
        </w:rPr>
      </w:pPr>
    </w:p>
    <w:p>
      <w:pPr>
        <w:ind w:left="460" w:right="5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80"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95" w:lineRule="exact"/>
        <w:rPr>
          <w:sz w:val="20"/>
          <w:szCs w:val="20"/>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12" w:lineRule="auto"/>
        <w:rPr>
          <w:sz w:val="20"/>
          <w:szCs w:val="20"/>
          <w:color w:val="auto"/>
        </w:rPr>
      </w:pPr>
      <w:r>
        <w:rPr>
          <w:rFonts w:ascii="Times New Roman" w:cs="Times New Roman" w:eastAsia="Times New Roman" w:hAnsi="Times New Roman"/>
          <w:sz w:val="17"/>
          <w:szCs w:val="17"/>
          <w:color w:val="auto"/>
        </w:rPr>
        <w:t>Our board of directors may issue preferred shares without action by our shareholders to the extent authorized but unissued. Issuance of these shares may dilute the voting power of holders of ordinary shares.</w:t>
      </w:r>
    </w:p>
    <w:p>
      <w:pPr>
        <w:spacing w:after="0" w:line="4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post-offering amended and restated memorandum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articles of association may discourage, delay or prevent a change of control of our company or management that shareholders may consider favorable, including provisions that</w:t>
      </w:r>
    </w:p>
    <w:p>
      <w:pPr>
        <w:spacing w:after="0" w:line="107" w:lineRule="exact"/>
        <w:rPr>
          <w:sz w:val="20"/>
          <w:szCs w:val="20"/>
          <w:color w:val="auto"/>
        </w:rPr>
      </w:pPr>
    </w:p>
    <w:p>
      <w:pPr>
        <w:ind w:left="1320" w:right="599" w:hanging="434"/>
        <w:spacing w:after="0" w:line="266"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0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97"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106"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95"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In the event we fail to update our register of member, the depositary, as the aggrieved party, may apply for an order with the courts of the Cayman Islands for the rectification of the register.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8" w:lineRule="exact"/>
        <w:rPr>
          <w:sz w:val="20"/>
          <w:szCs w:val="20"/>
          <w:color w:val="auto"/>
        </w:rPr>
      </w:pPr>
    </w:p>
    <w:p>
      <w:pPr>
        <w:ind w:left="460" w:right="999" w:firstLine="432"/>
        <w:spacing w:after="0" w:line="261"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95"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07"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8"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80"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95"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 xml:space="preserve">Foss v. Harbottle </w:t>
      </w:r>
      <w:r>
        <w:rPr>
          <w:rFonts w:ascii="Times New Roman" w:cs="Times New Roman" w:eastAsia="Times New Roman" w:hAnsi="Times New Roman"/>
          <w:sz w:val="18"/>
          <w:szCs w:val="18"/>
          <w:color w:val="auto"/>
        </w:rPr>
        <w:t>and the exceptions thereto) so that a non-controlling shareholder may be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a class action against or derivative actions in the name of our company to challenge actions where:</w:t>
      </w:r>
    </w:p>
    <w:p>
      <w:pPr>
        <w:spacing w:after="0" w:line="119" w:lineRule="exact"/>
        <w:rPr>
          <w:sz w:val="20"/>
          <w:szCs w:val="20"/>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our company are perpetrating a “fraud on the minority.”</w:t>
      </w:r>
    </w:p>
    <w:p>
      <w:pPr>
        <w:spacing w:after="0" w:line="154"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39"/>
        <w:spacing w:after="0" w:line="277" w:lineRule="auto"/>
        <w:rPr>
          <w:sz w:val="20"/>
          <w:szCs w:val="20"/>
          <w:color w:val="auto"/>
        </w:rPr>
      </w:pPr>
      <w:r>
        <w:rPr>
          <w:rFonts w:ascii="Times New Roman" w:cs="Times New Roman" w:eastAsia="Times New Roman" w:hAnsi="Times New Roman"/>
          <w:sz w:val="17"/>
          <w:szCs w:val="17"/>
          <w:color w:val="auto"/>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0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102" w:lineRule="exact"/>
        <w:rPr>
          <w:sz w:val="20"/>
          <w:szCs w:val="20"/>
          <w:color w:val="auto"/>
        </w:rPr>
      </w:pPr>
    </w:p>
    <w:p>
      <w:pPr>
        <w:ind w:left="460" w:right="6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6"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12"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0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0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7"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0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15" w:lineRule="exact"/>
        <w:rPr>
          <w:sz w:val="20"/>
          <w:szCs w:val="20"/>
          <w:color w:val="auto"/>
        </w:rPr>
      </w:pPr>
    </w:p>
    <w:p>
      <w:pPr>
        <w:ind w:left="460" w:right="59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12"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History of Securities Issuance</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11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On June 12, 2023, we issued an aggregate of 275,705,000 Class B ordinary shares, to Trident Group Holdings Ltd and Tri Wealth Ltd, entities owned by Mr. Lim, at par value of US$0.00001 each.</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10,000,000 Class B ordinary shares to our chief technology officer, Mr. Poh Kiong Tan, at par value.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5,000,000 Class B ordinary shares to Trident Verse Ltd, an entity owned by our chief financial officer, Ms. Haiyan Huang, at par value.</w:t>
      </w:r>
    </w:p>
    <w:p>
      <w:pPr>
        <w:spacing w:after="0" w:line="9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12"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On October 3, 2023, we issued an aggregate of 1,964,286 Class B ordinary shares in the aggregate consideration of US$1,100,000 to certain individual and institutional investors.</w:t>
      </w:r>
    </w:p>
    <w:p>
      <w:pPr>
        <w:spacing w:after="0" w:line="8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Times New Roman" w:cs="Times New Roman" w:eastAsia="Times New Roman" w:hAnsi="Times New Roman"/>
          <w:sz w:val="35"/>
          <w:szCs w:val="35"/>
          <w:color w:val="auto"/>
          <w:vertAlign w:val="superscript"/>
        </w:rPr>
        <w:t>.</w:t>
      </w:r>
    </w:p>
    <w:p>
      <w:pPr>
        <w:spacing w:after="0" w:line="1"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Please refer to Registration Number 333-275089 when retrieving such copy.</w:t>
      </w:r>
    </w:p>
    <w:p>
      <w:pPr>
        <w:spacing w:after="0" w:line="12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06"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04" w:lineRule="exact"/>
        <w:rPr>
          <w:sz w:val="20"/>
          <w:szCs w:val="20"/>
          <w:color w:val="auto"/>
        </w:rPr>
      </w:pPr>
    </w:p>
    <w:p>
      <w:pPr>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11"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81" w:lineRule="exact"/>
        <w:rPr>
          <w:sz w:val="20"/>
          <w:szCs w:val="20"/>
          <w:color w:val="auto"/>
        </w:rPr>
      </w:pPr>
    </w:p>
    <w:p>
      <w:pPr>
        <w:ind w:left="460" w:right="659" w:firstLine="432"/>
        <w:spacing w:after="0" w:line="277" w:lineRule="auto"/>
        <w:rPr>
          <w:sz w:val="20"/>
          <w:szCs w:val="20"/>
          <w:color w:val="auto"/>
        </w:rPr>
      </w:pPr>
      <w:r>
        <w:rPr>
          <w:rFonts w:ascii="Times New Roman" w:cs="Times New Roman" w:eastAsia="Times New Roman" w:hAnsi="Times New Roman"/>
          <w:sz w:val="17"/>
          <w:szCs w:val="17"/>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Class B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21" w:lineRule="exact"/>
        <w:rPr>
          <w:sz w:val="20"/>
          <w:szCs w:val="20"/>
          <w:color w:val="auto"/>
        </w:rPr>
      </w:pPr>
    </w:p>
    <w:p>
      <w:pPr>
        <w:ind w:left="460" w:right="619" w:firstLine="432"/>
        <w:spacing w:after="0" w:line="281" w:lineRule="auto"/>
        <w:rPr>
          <w:sz w:val="20"/>
          <w:szCs w:val="20"/>
          <w:color w:val="auto"/>
        </w:rPr>
      </w:pPr>
      <w:r>
        <w:rPr>
          <w:rFonts w:ascii="Times New Roman" w:cs="Times New Roman" w:eastAsia="Times New Roman" w:hAnsi="Times New Roman"/>
          <w:sz w:val="17"/>
          <w:szCs w:val="17"/>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5"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46" w:lineRule="exact"/>
        <w:rPr>
          <w:sz w:val="20"/>
          <w:szCs w:val="20"/>
          <w:color w:val="auto"/>
        </w:rPr>
      </w:pPr>
    </w:p>
    <w:p>
      <w:pPr>
        <w:ind w:left="1320" w:right="79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12"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77"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60" w:lineRule="exact"/>
        <w:rPr>
          <w:sz w:val="20"/>
          <w:szCs w:val="20"/>
          <w:color w:val="auto"/>
        </w:rPr>
      </w:pPr>
    </w:p>
    <w:p>
      <w:pPr>
        <w:ind w:left="1320" w:right="75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9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 named in the prospectus.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2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95" w:lineRule="exact"/>
        <w:rPr>
          <w:sz w:val="20"/>
          <w:szCs w:val="20"/>
          <w:color w:val="auto"/>
        </w:rPr>
      </w:pPr>
    </w:p>
    <w:p>
      <w:pPr>
        <w:jc w:val="both"/>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B ordinary shares, you will be responsible for transferring good and valid title to the depositary bank. As such, you will be deemed to represent and warrant that:</w:t>
      </w:r>
    </w:p>
    <w:p>
      <w:pPr>
        <w:spacing w:after="0" w:line="94" w:lineRule="exact"/>
        <w:rPr>
          <w:sz w:val="20"/>
          <w:szCs w:val="20"/>
          <w:color w:val="auto"/>
        </w:rPr>
      </w:pPr>
    </w:p>
    <w:p>
      <w:pPr>
        <w:ind w:left="1320" w:right="91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duly authorized, validly issued, fully paid, non-assessable and legally obtained.</w:t>
      </w:r>
    </w:p>
    <w:p>
      <w:pPr>
        <w:spacing w:after="0" w:line="9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B ordinary shares have been validly waived or exercised.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B ordinary shares.</w:t>
      </w:r>
    </w:p>
    <w:p>
      <w:pPr>
        <w:spacing w:after="0" w:line="157" w:lineRule="exact"/>
        <w:rPr>
          <w:rFonts w:ascii="Times New Roman" w:cs="Times New Roman" w:eastAsia="Times New Roman" w:hAnsi="Times New Roman"/>
          <w:sz w:val="18"/>
          <w:szCs w:val="18"/>
          <w:color w:val="auto"/>
        </w:rPr>
      </w:pPr>
    </w:p>
    <w:p>
      <w:pPr>
        <w:ind w:left="1320" w:right="599" w:hanging="434"/>
        <w:spacing w:after="0" w:line="266"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Times New Roman" w:cs="Times New Roman" w:eastAsia="Times New Roman" w:hAnsi="Times New Roman"/>
          <w:sz w:val="18"/>
          <w:szCs w:val="18"/>
          <w:color w:val="auto"/>
        </w:rPr>
      </w:pPr>
    </w:p>
    <w:p>
      <w:pPr>
        <w:ind w:left="1320" w:right="129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have not been stripped of any rights or entitlements.</w:t>
      </w:r>
    </w:p>
    <w:p>
      <w:pPr>
        <w:spacing w:after="0" w:line="81" w:lineRule="exact"/>
        <w:rPr>
          <w:sz w:val="20"/>
          <w:szCs w:val="20"/>
          <w:color w:val="auto"/>
        </w:rPr>
      </w:pPr>
    </w:p>
    <w:p>
      <w:pPr>
        <w:ind w:left="460" w:right="519" w:firstLine="432"/>
        <w:spacing w:after="0" w:line="312" w:lineRule="auto"/>
        <w:rPr>
          <w:sz w:val="20"/>
          <w:szCs w:val="20"/>
          <w:color w:val="auto"/>
        </w:rPr>
      </w:pPr>
      <w:r>
        <w:rPr>
          <w:rFonts w:ascii="Times New Roman" w:cs="Times New Roman" w:eastAsia="Times New Roman" w:hAnsi="Times New Roman"/>
          <w:sz w:val="17"/>
          <w:szCs w:val="17"/>
          <w:color w:val="auto"/>
        </w:rPr>
        <w:t>If any of the representations or warranties are incorrect in any way, we and the depositary bank may, at your cost and expense, take any and all actions necessary to correct the consequences of the misrepresentations.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08" w:lineRule="exact"/>
        <w:rPr>
          <w:sz w:val="20"/>
          <w:szCs w:val="20"/>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44" w:lineRule="exact"/>
        <w:rPr>
          <w:rFonts w:ascii="Times New Roman" w:cs="Times New Roman" w:eastAsia="Times New Roman" w:hAnsi="Times New Roman"/>
          <w:sz w:val="18"/>
          <w:szCs w:val="18"/>
          <w:color w:val="auto"/>
        </w:rPr>
      </w:pPr>
    </w:p>
    <w:p>
      <w:pPr>
        <w:ind w:left="1320" w:right="119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bank deems appropriate;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57"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81"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6"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8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Voting Rights</w:t>
      </w:r>
    </w:p>
    <w:p>
      <w:pPr>
        <w:spacing w:after="0" w:line="162"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10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06" w:lineRule="exact"/>
        <w:rPr>
          <w:sz w:val="20"/>
          <w:szCs w:val="20"/>
          <w:color w:val="auto"/>
        </w:rPr>
      </w:pPr>
    </w:p>
    <w:p>
      <w:pPr>
        <w:ind w:left="1320" w:right="699" w:hanging="434"/>
        <w:spacing w:after="0" w:line="267"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bank will vote (or cause the custodian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all Class B ordinary shares held on deposit at that time in accordance with the voting instructions received from a majority of holders of ADSs who provide timely voting instructions.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67" w:lineRule="auto"/>
        <w:tabs>
          <w:tab w:leader="none" w:pos="1315" w:val="left"/>
        </w:tabs>
        <w:numPr>
          <w:ilvl w:val="0"/>
          <w:numId w:val="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bank will vote (or cause the Custodian to vote)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ordinary shares held on deposit in accordance with the voting instructions received from the holders of ADSs.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38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0" w:type="dxa"/>
            <w:vAlign w:val="bottom"/>
          </w:tcPr>
          <w:p>
            <w:pPr>
              <w:spacing w:after="0"/>
              <w:rPr>
                <w:sz w:val="1"/>
                <w:szCs w:val="1"/>
                <w:color w:val="auto"/>
              </w:rPr>
            </w:pPr>
          </w:p>
        </w:tc>
      </w:tr>
      <w:tr>
        <w:trPr>
          <w:trHeight w:val="46"/>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80" w:right="1899" w:hanging="226"/>
        <w:spacing w:after="0" w:line="261" w:lineRule="auto"/>
        <w:tabs>
          <w:tab w:leader="none" w:pos="6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(e.g., a cancellation of ADSs for Up to U.S. 5¢ per ADS cancelled delivery of deposited property, upon a change in the</w:t>
      </w:r>
    </w:p>
    <w:p>
      <w:pPr>
        <w:ind w:left="680" w:right="4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ADS(s)-to-Class B ordinary share(s) ratio, or for any other reason)</w:t>
      </w:r>
    </w:p>
    <w:p>
      <w:pPr>
        <w:spacing w:after="0" w:line="154"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cash dividends or other cash</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entitlements)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ADSs pursuant to (i) stock dividends</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rights to purchase additional ADSs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financial instruments, including, but</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contingent value rights)</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ind w:left="660" w:hanging="206"/>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Services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680" w:hanging="226"/>
        <w:spacing w:after="0" w:line="261" w:lineRule="auto"/>
        <w:tabs>
          <w:tab w:leader="none" w:pos="66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p>
      <w:pPr>
        <w:spacing w:after="0" w:line="152" w:lineRule="exact"/>
        <w:rPr>
          <w:rFonts w:ascii="Times New Roman" w:cs="Times New Roman" w:eastAsia="Times New Roman" w:hAnsi="Times New Roman"/>
          <w:sz w:val="18"/>
          <w:szCs w:val="18"/>
          <w:color w:val="auto"/>
        </w:rPr>
      </w:pPr>
    </w:p>
    <w:p>
      <w:pPr>
        <w:ind w:left="680" w:right="20" w:hanging="226"/>
        <w:spacing w:after="0" w:line="254" w:lineRule="auto"/>
        <w:tabs>
          <w:tab w:leader="none" w:pos="66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99"/>
        <w:spacing w:after="0" w:line="282"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w:t>
      </w:r>
    </w:p>
    <w:p>
      <w:pPr>
        <w:spacing w:after="0" w:line="1511" w:lineRule="exact"/>
        <w:rPr>
          <w:sz w:val="20"/>
          <w:szCs w:val="20"/>
          <w:color w:val="auto"/>
        </w:rPr>
      </w:pPr>
    </w:p>
    <w:p>
      <w:pPr>
        <w:sectPr>
          <w:pgSz w:w="11900" w:h="16838" w:orient="portrait"/>
          <w:cols w:equalWidth="0" w:num="2">
            <w:col w:w="4600" w:space="120"/>
            <w:col w:w="4299"/>
          </w:cols>
          <w:pgMar w:left="1440" w:top="270" w:right="1440"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57"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08" w:lineRule="exact"/>
        <w:rPr>
          <w:rFonts w:ascii="Times New Roman" w:cs="Times New Roman" w:eastAsia="Times New Roman" w:hAnsi="Times New Roman"/>
          <w:sz w:val="18"/>
          <w:szCs w:val="18"/>
          <w:color w:val="auto"/>
        </w:rPr>
      </w:pPr>
    </w:p>
    <w:p>
      <w:pPr>
        <w:jc w:val="both"/>
        <w:ind w:left="1320" w:right="519" w:hanging="434"/>
        <w:spacing w:after="0" w:line="266"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 and</w:t>
      </w:r>
    </w:p>
    <w:p>
      <w:pPr>
        <w:spacing w:after="0" w:line="94"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08"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95" w:lineRule="exact"/>
        <w:rPr>
          <w:sz w:val="20"/>
          <w:szCs w:val="20"/>
          <w:color w:val="auto"/>
        </w:rPr>
      </w:pPr>
    </w:p>
    <w:p>
      <w:pPr>
        <w:ind w:left="460" w:right="479" w:hanging="6"/>
        <w:spacing w:after="0" w:line="260" w:lineRule="auto"/>
        <w:tabs>
          <w:tab w:leader="none" w:pos="7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ADSs of one series for ADSs of another series, the ADS conversion fee will be payable by the Holder whose ADSs are converted or by the person to whom the converted ADSs are delivered.</w:t>
      </w:r>
    </w:p>
    <w:p>
      <w:pPr>
        <w:spacing w:after="0" w:line="10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61" w:lineRule="auto"/>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9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94" w:lineRule="exact"/>
        <w:rPr>
          <w:sz w:val="20"/>
          <w:szCs w:val="20"/>
          <w:color w:val="auto"/>
        </w:rPr>
      </w:pPr>
    </w:p>
    <w:p>
      <w:pPr>
        <w:ind w:left="1320" w:right="65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55"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21"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39" w:hanging="434"/>
        <w:spacing w:after="0" w:line="255"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08" w:lineRule="exact"/>
        <w:rPr>
          <w:rFonts w:ascii="Times New Roman" w:cs="Times New Roman" w:eastAsia="Times New Roman" w:hAnsi="Times New Roman"/>
          <w:sz w:val="18"/>
          <w:szCs w:val="18"/>
          <w:color w:val="auto"/>
        </w:rPr>
      </w:pPr>
    </w:p>
    <w:p>
      <w:pPr>
        <w:ind w:left="1320" w:right="579" w:hanging="434"/>
        <w:spacing w:after="0" w:line="261"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8"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5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1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2" w:lineRule="exact"/>
        <w:rPr>
          <w:sz w:val="20"/>
          <w:szCs w:val="20"/>
          <w:color w:val="auto"/>
        </w:rPr>
      </w:pPr>
    </w:p>
    <w:p>
      <w:pPr>
        <w:ind w:left="460" w:right="539" w:firstLine="432"/>
        <w:spacing w:after="0" w:line="289" w:lineRule="auto"/>
        <w:rPr>
          <w:sz w:val="20"/>
          <w:szCs w:val="20"/>
          <w:color w:val="auto"/>
        </w:rPr>
      </w:pPr>
      <w:r>
        <w:rPr>
          <w:rFonts w:ascii="Times New Roman" w:cs="Times New Roman" w:eastAsia="Times New Roman" w:hAnsi="Times New Roman"/>
          <w:sz w:val="17"/>
          <w:szCs w:val="17"/>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95" w:lineRule="exact"/>
        <w:rPr>
          <w:sz w:val="20"/>
          <w:szCs w:val="20"/>
          <w:color w:val="auto"/>
        </w:rPr>
      </w:pPr>
    </w:p>
    <w:p>
      <w:pPr>
        <w:ind w:left="1320" w:right="57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0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0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Jurisdiction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69" w:lineRule="auto"/>
        <w:rPr>
          <w:sz w:val="20"/>
          <w:szCs w:val="20"/>
          <w:color w:val="auto"/>
        </w:rPr>
      </w:pPr>
      <w:r>
        <w:rPr>
          <w:rFonts w:ascii="Times New Roman" w:cs="Times New Roman" w:eastAsia="Times New Roman" w:hAnsi="Times New Roman"/>
          <w:sz w:val="17"/>
          <w:szCs w:val="17"/>
          <w:color w:val="auto"/>
        </w:rPr>
        <w:t>Upon completion of this offering of Public Offering ADSs, we will have 4,925,000 ADSs outstanding, including 3,125,000 Shareholder ADSs, representing 39,400,000 Class B ordinary shares, or approximately 7.6% of our outstanding ordinary shares. An aggregate of 3,125,000 Shareholder ADSs will be eligible for immediate sale by the Selling Shareholder upon the completion of this offering of Public Offering ADSs, subject to the lock-up agreement described below. All of the Public Offering ADSs and Shareholder ADSs (subject to the lock-up agreement described below)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3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three months after the date of closing of this offering, subject to certain exceptions and applicable notice requirements.</w:t>
      </w:r>
    </w:p>
    <w:p>
      <w:pPr>
        <w:spacing w:after="0" w:line="103"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our shareholders holding more than 5.0%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underwriter for a period of six months after the date of this prospectus, subject to certain exceptions and applicable notice requirements.</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the Selling Shareholder has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Relevant Resale Shares, our ordinary shares or securities convertible into or exchangeable or exercisable for any Relevant Resale Shares, or enter into any swap or other arrangement that transfers to another, in whole or in part, any of the economic consequences of ownership of any Relevant Resale Shares, our ordinary shares or securities convertible into or exercisable or exchangeable for any Relevant Resale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Relevant Resale Shares, our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ordinary shares or securities convertible into or exercisable or exchangeable for any Relevant Resale Shares, or publicly disclose the intention to do any of the foregoing, without the prior written consent of the underwriter for a period of six months after the date of this prospectus, subject to certain exceptions and applicable notice requirements.</w:t>
      </w:r>
    </w:p>
    <w:p>
      <w:pPr>
        <w:spacing w:after="0" w:line="8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not aware of any plans by any significant shareholders, other than the Selling Shareholder (subject to the lock-up agreement described above), to dispose of significant numbers of our ordinary shares or the ADSs. We cannot predict what effect, if any, future sales of our ordinary shares or the ADSs, or the availability of ordinary shares or ADSs for future sale, will have on the trading price of the ADSs from time to time. Sales of substantial amounts of our ordinary shares or the ADSs in the public market, or the perception that these sales could occur, could adversely affect the trading price of the ADSs.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Class B ordinary shares represented by ADSs sold in this offering of Public Offering ADSs and Shareholder ADSs,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11" w:lineRule="exact"/>
        <w:rPr>
          <w:sz w:val="20"/>
          <w:szCs w:val="20"/>
          <w:color w:val="auto"/>
        </w:rPr>
      </w:pPr>
    </w:p>
    <w:p>
      <w:pPr>
        <w:ind w:left="1320" w:right="83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in the form of ADSs or otherwise, which will equal approximately 5,163,642 ordinary shares immediately after this offering; or</w:t>
      </w:r>
    </w:p>
    <w:p>
      <w:pPr>
        <w:spacing w:after="0" w:line="94"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10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95"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6"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48" w:lineRule="exact"/>
        <w:rPr>
          <w:sz w:val="20"/>
          <w:szCs w:val="20"/>
          <w:color w:val="auto"/>
        </w:rPr>
      </w:pPr>
    </w:p>
    <w:p>
      <w:pPr>
        <w:jc w:val="both"/>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is not intended to be or to be regarded as tax advice to any investors, and investors should consult their own professional tax advisors regarding the Singapore tax matters.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33"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accruing in or derived from Singapore; or</w:t>
      </w:r>
    </w:p>
    <w:p>
      <w:pPr>
        <w:spacing w:after="0" w:line="130"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2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outside Singapore (i.e. foreign-sourced income) which is received or deemed received in Singapore, unless otherwise exempted.</w:t>
      </w:r>
    </w:p>
    <w:p>
      <w:pPr>
        <w:spacing w:after="0" w:line="67"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A non-Singapore tax resident corporate taxpayer, subject to certain exceptions, is subject to Singapore income tax on income accrued in or derived from Singapore, and on foreign income received or deemed received in Singapore.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remitted to, transmitted or brought into Singapore;</w:t>
      </w:r>
    </w:p>
    <w:p>
      <w:pPr>
        <w:spacing w:after="0" w:line="130"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pay off any debt incurred in respect of a trade or business carried on in Singapore;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1" w:lineRule="exact"/>
        <w:rPr>
          <w:sz w:val="20"/>
          <w:szCs w:val="20"/>
          <w:color w:val="auto"/>
        </w:rPr>
      </w:pPr>
    </w:p>
    <w:p>
      <w:pPr>
        <w:ind w:left="1320" w:right="619" w:hanging="434"/>
        <w:spacing w:after="0" w:line="282" w:lineRule="auto"/>
        <w:tabs>
          <w:tab w:leader="none" w:pos="13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61" w:lineRule="auto"/>
        <w:tabs>
          <w:tab w:leader="none" w:pos="12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12"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0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The prevailing corporate income tax rate in Singapore is 17.0% with the first S$200,000 of chargeable income of a company being partially exempt from tax as follows:</w:t>
      </w:r>
    </w:p>
    <w:p>
      <w:pPr>
        <w:spacing w:after="0" w:line="81" w:lineRule="exact"/>
        <w:rPr>
          <w:sz w:val="20"/>
          <w:szCs w:val="20"/>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S$190,000 of chargeable income.</w:t>
      </w:r>
    </w:p>
    <w:p>
      <w:pPr>
        <w:spacing w:after="0" w:line="15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for each of the company’s first three (3) years of assessment as follows:</w:t>
      </w:r>
    </w:p>
    <w:p>
      <w:pPr>
        <w:spacing w:after="0" w:line="81" w:lineRule="exact"/>
        <w:rPr>
          <w:sz w:val="20"/>
          <w:szCs w:val="20"/>
          <w:color w:val="auto"/>
        </w:rPr>
      </w:pPr>
    </w:p>
    <w:p>
      <w:pPr>
        <w:ind w:left="1320" w:hanging="434"/>
        <w:spacing w:after="0"/>
        <w:tabs>
          <w:tab w:leader="none" w:pos="1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S$100,000 of chargeable income.</w:t>
      </w:r>
    </w:p>
    <w:p>
      <w:pPr>
        <w:spacing w:after="0" w:line="15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remaining chargeable income (after the tax exemption scheme for new companies or the partial tax exemption scheme for companies) will be fully taxable at the prevailing corporate tax rate. For the year of assessment 2024, companies will receive a 50% corporate income tax rebate capped at S$40,000. For companies which employed at least one local employee in 2023 will receive a cash payout of at least S$2,000. The maximum total benefits of the corporate income tax rebate and the cash payout that a company may receive is capped at S$40,000.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14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All Singapore-tax resident companies are currently under the one-tier corporate tax system, or one-tier system.</w:t>
      </w:r>
    </w:p>
    <w:p>
      <w:pPr>
        <w:spacing w:after="0" w:line="9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95"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Shares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are not taxable in Singapore.</w:t>
      </w:r>
    </w:p>
    <w:p>
      <w:pPr>
        <w:spacing w:after="0" w:line="12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Subject to Section 10L of the Income Tax Act 1947 (“SITA”), and specified exceptions, Section 13W of the SITA, provides for certainty on the non-taxability of gains derived by a corporate taxpayer from the disposal of ordinary shares during the period from June 1, 2012 to December 31, 2027 (both dates inclusive) where:</w:t>
      </w:r>
    </w:p>
    <w:p>
      <w:pPr>
        <w:spacing w:after="0" w:line="77" w:lineRule="exact"/>
        <w:rPr>
          <w:sz w:val="20"/>
          <w:szCs w:val="20"/>
          <w:color w:val="auto"/>
        </w:rPr>
      </w:pPr>
    </w:p>
    <w:p>
      <w:pPr>
        <w:ind w:left="1320" w:right="81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legally and beneficially held a minimum shareholding of 20% of the ordinary shares of the company whose shares are being disposed;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maintained the minimum 20% shareholding for a continuous period of at least 24 months immediately prior to the disposal.</w:t>
      </w:r>
    </w:p>
    <w:p>
      <w:pPr>
        <w:spacing w:after="0" w:line="9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above-mentioned “safe harbor rules” prescribed under Section 13W of SITA will not apply to a divesting company under certain scenarios. These include, but are not limited to, the divesting company that is in the business of trading or holding Singapore immovable properties, or property development (subject to certain exceptions), where the shares are not listed on a stock exchange in Singapore or elsewhere, the divesting company whose gains or profits from the disposal of ordinary shares are included as part of its income, disposal of shares by a partnership, limited partnership or limited liability partnership where one or more of the partners is a company or are companies, etc.</w:t>
      </w:r>
    </w:p>
    <w:p>
      <w:pPr>
        <w:spacing w:after="0" w:line="10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Section 10L of the SITA, gains received in Singapore by an entity of a relevant group from the sale or disposal of any movable or immovable property outside Singapore will be treated as income chargeable to tax under Section 10(1)(g) of the ITA under certain circumstances. The foreign-sourced disposal gains will be subject to tax if the entity does not have adequate economic substance in Singapore. The foreign-sourced disposal gains will be subject to tax if the entity does not have adequate economic substance in Singapore and the sale or disposal of the foreign asset occurs on or after January 1, 2024. 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of the group are not all incorporated, registered or established in Singapore; or (b) any entity of the group has a place of business outside Singapore.</w:t>
      </w:r>
    </w:p>
    <w:p>
      <w:pPr>
        <w:spacing w:after="0" w:line="1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Shareholders who apply, or who are required to apply, the Singapore Financial Reporting Standard 39</w:t>
      </w:r>
    </w:p>
    <w:p>
      <w:pPr>
        <w:spacing w:after="0" w:line="27" w:lineRule="exact"/>
        <w:rPr>
          <w:sz w:val="20"/>
          <w:szCs w:val="20"/>
          <w:color w:val="auto"/>
        </w:rPr>
      </w:pPr>
    </w:p>
    <w:p>
      <w:pPr>
        <w:ind w:left="460" w:right="639"/>
        <w:spacing w:after="0" w:line="270" w:lineRule="auto"/>
        <w:rPr>
          <w:sz w:val="20"/>
          <w:szCs w:val="20"/>
          <w:color w:val="auto"/>
        </w:rPr>
      </w:pPr>
      <w:r>
        <w:rPr>
          <w:rFonts w:ascii="Times New Roman" w:cs="Times New Roman" w:eastAsia="Times New Roman" w:hAnsi="Times New Roman"/>
          <w:sz w:val="17"/>
          <w:szCs w:val="17"/>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80"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Shareholders who may be subject to the above-mentioned tax treatments should consult their accounting and tax advisers regarding the Singapore income tax consequences of their acquisition, holding and disposal of the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99" w:lineRule="exact"/>
        <w:rPr>
          <w:sz w:val="20"/>
          <w:szCs w:val="20"/>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required to use a mark-to-market method of accounting;</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44" w:lineRule="exact"/>
        <w:rPr>
          <w:rFonts w:ascii="Times New Roman" w:cs="Times New Roman" w:eastAsia="Times New Roman" w:hAnsi="Times New Roman"/>
          <w:sz w:val="18"/>
          <w:szCs w:val="18"/>
          <w:color w:val="auto"/>
        </w:rPr>
      </w:pPr>
    </w:p>
    <w:p>
      <w:pPr>
        <w:ind w:left="1320" w:right="77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6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through a bank, financial institution or other entity, or a branch thereof, located, organized or resident outside the United States;</w:t>
      </w:r>
    </w:p>
    <w:p>
      <w:pPr>
        <w:spacing w:after="0" w:line="6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power of all classes of our voting stock;</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stock option or otherwise as compensation; or</w:t>
      </w:r>
    </w:p>
    <w:p>
      <w:pPr>
        <w:spacing w:after="0" w:line="67"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or ordinary shares through such entities.</w:t>
      </w:r>
    </w:p>
    <w:p>
      <w:pPr>
        <w:spacing w:after="0" w:line="67" w:lineRule="exact"/>
        <w:rPr>
          <w:sz w:val="20"/>
          <w:szCs w:val="20"/>
          <w:color w:val="auto"/>
        </w:rPr>
      </w:pPr>
    </w:p>
    <w:p>
      <w:pPr>
        <w:ind w:left="460" w:right="919" w:firstLine="432"/>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1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9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ordinary shares that is, for United States federal income tax purposes:</w:t>
      </w:r>
    </w:p>
    <w:p>
      <w:pPr>
        <w:spacing w:after="0" w:line="81" w:lineRule="exact"/>
        <w:rPr>
          <w:sz w:val="20"/>
          <w:szCs w:val="20"/>
          <w:color w:val="auto"/>
        </w:rPr>
      </w:pPr>
    </w:p>
    <w:p>
      <w:pPr>
        <w:ind w:left="1320" w:hanging="434"/>
        <w:spacing w:after="0"/>
        <w:tabs>
          <w:tab w:leader="none" w:pos="1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16"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111"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56" w:lineRule="auto"/>
        <w:rPr>
          <w:sz w:val="20"/>
          <w:szCs w:val="20"/>
          <w:color w:val="auto"/>
        </w:rPr>
      </w:pPr>
      <w:r>
        <w:rPr>
          <w:rFonts w:ascii="Times New Roman" w:cs="Times New Roman" w:eastAsia="Times New Roman" w:hAnsi="Times New Roman"/>
          <w:sz w:val="18"/>
          <w:szCs w:val="18"/>
          <w:color w:val="auto"/>
        </w:rPr>
        <w:t>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2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3" w:lineRule="exact"/>
        <w:rPr>
          <w:sz w:val="20"/>
          <w:szCs w:val="20"/>
          <w:color w:val="auto"/>
        </w:rPr>
      </w:pPr>
    </w:p>
    <w:p>
      <w:pPr>
        <w:ind w:left="460" w:right="519" w:hanging="6"/>
        <w:spacing w:after="0" w:line="251" w:lineRule="auto"/>
        <w:tabs>
          <w:tab w:leader="none" w:pos="7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26"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4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21" w:lineRule="exact"/>
        <w:rPr>
          <w:sz w:val="20"/>
          <w:szCs w:val="20"/>
          <w:color w:val="auto"/>
        </w:rPr>
      </w:pPr>
    </w:p>
    <w:p>
      <w:pPr>
        <w:ind w:left="1320" w:right="479" w:hanging="434"/>
        <w:spacing w:after="0" w:line="282" w:lineRule="auto"/>
        <w:tabs>
          <w:tab w:leader="none" w:pos="13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94" w:lineRule="exact"/>
        <w:rPr>
          <w:rFonts w:ascii="Times New Roman" w:cs="Times New Roman" w:eastAsia="Times New Roman" w:hAnsi="Times New Roman"/>
          <w:sz w:val="18"/>
          <w:szCs w:val="18"/>
          <w:color w:val="auto"/>
        </w:rPr>
      </w:pPr>
    </w:p>
    <w:p>
      <w:pPr>
        <w:jc w:val="both"/>
        <w:ind w:left="1320" w:right="539" w:hanging="434"/>
        <w:spacing w:after="0" w:line="266" w:lineRule="auto"/>
        <w:tabs>
          <w:tab w:leader="none" w:pos="13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94" w:lineRule="exact"/>
        <w:rPr>
          <w:rFonts w:ascii="Times New Roman" w:cs="Times New Roman" w:eastAsia="Times New Roman" w:hAnsi="Times New Roman"/>
          <w:sz w:val="18"/>
          <w:szCs w:val="18"/>
          <w:color w:val="auto"/>
        </w:rPr>
      </w:pPr>
    </w:p>
    <w:p>
      <w:pPr>
        <w:jc w:val="both"/>
        <w:ind w:left="1320" w:right="579" w:hanging="434"/>
        <w:spacing w:after="0" w:line="261" w:lineRule="auto"/>
        <w:tabs>
          <w:tab w:leader="none" w:pos="13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28" w:lineRule="exact"/>
        <w:rPr>
          <w:sz w:val="20"/>
          <w:szCs w:val="20"/>
          <w:color w:val="auto"/>
        </w:rPr>
      </w:pPr>
    </w:p>
    <w:p>
      <w:pPr>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87"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08" w:lineRule="exact"/>
        <w:rPr>
          <w:sz w:val="20"/>
          <w:szCs w:val="20"/>
          <w:color w:val="auto"/>
        </w:rPr>
      </w:pPr>
    </w:p>
    <w:p>
      <w:pPr>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WallachBeth Capital LLC is acting as the representative of the underwriters of this Offering (the “Representative”). Under the terms and subject to the conditions contained in the underwriting agreement dated as of the date of this prospectus, each of the Underwriters named below has severally but not jointly agreed to purchase, and we have agreed to sell to those Underwriters, the number of ordinary shares set forth opposite the Underwriter’s name below:</w:t>
      </w:r>
    </w:p>
    <w:p>
      <w:pPr>
        <w:spacing w:after="0" w:line="15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ind w:left="460"/>
        <w:spacing w:after="0"/>
        <w:tabs>
          <w:tab w:leader="none" w:pos="7620" w:val="left"/>
        </w:tabs>
        <w:rPr>
          <w:sz w:val="20"/>
          <w:szCs w:val="20"/>
          <w:color w:val="auto"/>
        </w:rPr>
      </w:pPr>
      <w:r>
        <w:rPr>
          <w:rFonts w:ascii="Times New Roman" w:cs="Times New Roman" w:eastAsia="Times New Roman" w:hAnsi="Times New Roman"/>
          <w:sz w:val="16"/>
          <w:szCs w:val="16"/>
          <w:b w:val="1"/>
          <w:bCs w:val="1"/>
          <w:color w:val="auto"/>
        </w:rPr>
        <w:t>Underwriter</w:t>
      </w:r>
      <w:r>
        <w:rPr>
          <w:sz w:val="20"/>
          <w:szCs w:val="20"/>
          <w:color w:val="auto"/>
        </w:rPr>
        <w:tab/>
      </w:r>
      <w:r>
        <w:rPr>
          <w:rFonts w:ascii="Times New Roman" w:cs="Times New Roman" w:eastAsia="Times New Roman" w:hAnsi="Times New Roman"/>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Revere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ADSs subject to its acceptance of the ADSs from us and subject to prior sale. The underwriting agreement provides that the obligations of the Underwriters to pay for and accept delivery of the ADSs offered by this prospectus are subject to the approval of certain legal matters by its counsel and to other conditions. The Underwriters are obligated to take and pay for all of the ADSs offered by this prospectus if any such ADSs are taken.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exercisable within forty five (45) days after the closing of the offering, to acquire up to an additional fifteen percent (15%) of the total number of securities to be offered by us in the offering on the same terms as the securities sold in the offering, solely for the purpose of covering over allotments.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underwriting discounts and commissions are equal to seven percent (7%) of the gross proceeds from the sale of the securities in the offering (the “Underwriting Discount”), and the Underwriters may in their discretion apportion such Underwriting Discount in whole or in part to any selected dealer engaged by the Underwriter(s) in connection with the IPO.</w:t>
      </w:r>
    </w:p>
    <w:p>
      <w:pPr>
        <w:spacing w:after="0" w:line="112" w:lineRule="exact"/>
        <w:rPr>
          <w:sz w:val="20"/>
          <w:szCs w:val="20"/>
          <w:color w:val="auto"/>
        </w:rPr>
      </w:pPr>
    </w:p>
    <w:p>
      <w:pPr>
        <w:ind w:left="460" w:right="959" w:firstLine="432"/>
        <w:spacing w:after="0" w:line="282" w:lineRule="auto"/>
        <w:rPr>
          <w:sz w:val="20"/>
          <w:szCs w:val="20"/>
          <w:color w:val="auto"/>
        </w:rPr>
      </w:pPr>
      <w:r>
        <w:rPr>
          <w:rFonts w:ascii="Times New Roman" w:cs="Times New Roman" w:eastAsia="Times New Roman" w:hAnsi="Times New Roman"/>
          <w:sz w:val="18"/>
          <w:szCs w:val="18"/>
          <w:color w:val="auto"/>
        </w:rPr>
        <w:t>We have agreed to pay advisory fees in connection with the offering in the amount of $30,000 upon successful closing of the IPO within six months upon the execution of the engagement letter.</w:t>
      </w:r>
    </w:p>
    <w:p>
      <w:pPr>
        <w:spacing w:after="0" w:line="94"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ADS and total initial public offering price, underwriting discounts and commissions, and proceeds before expenses to us.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2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56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shd w:val="clear" w:color="auto" w:fill="CCEEFF"/>
          </w:tcPr>
          <w:p>
            <w:pPr>
              <w:spacing w:after="0"/>
              <w:rPr>
                <w:sz w:val="21"/>
                <w:szCs w:val="21"/>
                <w:color w:val="auto"/>
              </w:rPr>
            </w:pPr>
          </w:p>
        </w:tc>
      </w:tr>
      <w:tr>
        <w:trPr>
          <w:trHeight w:val="40"/>
        </w:trPr>
        <w:tc>
          <w:tcPr>
            <w:tcW w:w="5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We have agreed, to reimburse the Underwriters, promptly when invoiced, for all of their reasonable, out-of-pocket expenses (including, but not limited to, travel, due diligence expenses, reasonable fees and expenses of their legal counsel, roadshow and background check on the Company’s principals) in connection with the performance of its services hereunder not to exceed an aggregate of $250,000, regardless of whether the offering occurs. For any expense that exceeds the amount of $5,000, the Underwriters should seek the Company’s approval.</w:t>
      </w:r>
    </w:p>
    <w:p>
      <w:pPr>
        <w:spacing w:after="0" w:line="120"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agreed to pay to the Underwriters upon closing of this offering a non-accountable expense allowance equal to one percent (1%) of the gross proceeds received by the Company from the sale of the ADSs in this offering.</w:t>
      </w:r>
    </w:p>
    <w:p>
      <w:pPr>
        <w:spacing w:after="0" w:line="10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spacing w:after="0" w:line="274" w:lineRule="auto"/>
        <w:rPr>
          <w:sz w:val="20"/>
          <w:szCs w:val="20"/>
          <w:color w:val="auto"/>
        </w:rPr>
      </w:pPr>
      <w:r>
        <w:rPr>
          <w:rFonts w:ascii="Times New Roman" w:cs="Times New Roman" w:eastAsia="Times New Roman" w:hAnsi="Times New Roman"/>
          <w:sz w:val="17"/>
          <w:szCs w:val="17"/>
          <w:color w:val="auto"/>
        </w:rPr>
        <w:t>final prospectuses as the Underwriters may reasonably request; (ii) the costs of preparing, printing and delivering exhibits thereto, in such quantities as Underwriters may reasonably request; (iii) all fees, expenses and disbursements relating to the registration, qualification or exemption of securities offered under the securities laws of foreign jurisdictions designated by the Underwriters; (iv) the fees of counsel(s) and accountants for the Company, including fees associated with any blue sky filings where applicable; (v) fees associated with the Company’s transfer agent; and (vi) fees, if necessary, associated with translation services.</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underwriting discounts</w:t>
      </w:r>
    </w:p>
    <w:p>
      <w:pPr>
        <w:spacing w:after="0" w:line="27" w:lineRule="exact"/>
        <w:rPr>
          <w:sz w:val="20"/>
          <w:szCs w:val="20"/>
          <w:color w:val="auto"/>
        </w:rPr>
      </w:pPr>
    </w:p>
    <w:p>
      <w:pPr>
        <w:ind w:left="460"/>
        <w:spacing w:after="0"/>
        <w:tabs>
          <w:tab w:leader="none" w:pos="7240" w:val="left"/>
        </w:tabs>
        <w:rPr>
          <w:sz w:val="20"/>
          <w:szCs w:val="20"/>
          <w:color w:val="auto"/>
        </w:rPr>
      </w:pPr>
      <w:r>
        <w:rPr>
          <w:rFonts w:ascii="Times New Roman" w:cs="Times New Roman" w:eastAsia="Times New Roman" w:hAnsi="Times New Roman"/>
          <w:sz w:val="18"/>
          <w:szCs w:val="18"/>
          <w:color w:val="auto"/>
        </w:rPr>
        <w:t>and commissions and non-accountable expense allowance, will be approximately US$[</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48"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agreed to grant to the Underwriters, for a period of nine (9) months following the closing of this offering, a right of first refusal, exercisable at the discretion of the Underwriters, to provide investment banking services to the Company on an exclusive basis for (a) acting as lead or joint-lead manager for any underwritten public offering; (b) acting as lead or joint book runner and/or lead or joint placement agent, initial purchaser in connection with any private offering of securities of the Company;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In accordance with FINRA Rule 5110(g)(6)(A)(i), such right of first refusal shall not have a duration of more than three years from the commencement of sales of the public offering or the termination date of the engagement between us and the Underwriters. Such right of first refusal is also subject to FINRA Rule 5110(g), which grants us a right of termination for cause, which includes that we may terminate the Underwriter’s engagement upon the Underwriter’s material failure to provide the underwriting services required by the underwriting agreement. Our exercise of the right of termination for cause will eliminate any obligations with respect to the right of first refusal set forth above.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679" w:firstLine="432"/>
        <w:spacing w:after="0" w:line="312" w:lineRule="auto"/>
        <w:rPr>
          <w:sz w:val="20"/>
          <w:szCs w:val="20"/>
          <w:color w:val="auto"/>
        </w:rPr>
      </w:pPr>
      <w:r>
        <w:rPr>
          <w:rFonts w:ascii="Times New Roman" w:cs="Times New Roman" w:eastAsia="Times New Roman" w:hAnsi="Times New Roman"/>
          <w:sz w:val="17"/>
          <w:szCs w:val="17"/>
          <w:color w:val="auto"/>
        </w:rPr>
        <w:t>We have agreed that, subject to certain exceptions, we or any successors of us will not without the prior written consent of the Underwriters, during the period of three (3) months after the closing of the offering:</w:t>
      </w:r>
    </w:p>
    <w:p>
      <w:pPr>
        <w:spacing w:after="0" w:line="72" w:lineRule="exact"/>
        <w:rPr>
          <w:sz w:val="20"/>
          <w:szCs w:val="20"/>
          <w:color w:val="auto"/>
        </w:rPr>
      </w:pPr>
    </w:p>
    <w:p>
      <w:pPr>
        <w:ind w:left="1320" w:right="499" w:hanging="434"/>
        <w:spacing w:after="0" w:line="266" w:lineRule="auto"/>
        <w:tabs>
          <w:tab w:leader="none" w:pos="128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or otherwise transfer or dispose of, directly or indirectly, any shares of capital stock of the Company or any securities convertible into or exercisable or exchangeable for shares of capital stock of the Company;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cause to be filed any registration statement with the SEC relating to the offering of any shares of capital stock of the Company or any securities convertible into or exercisable or exchangeable for shares of capital stock of the Company.</w:t>
      </w:r>
    </w:p>
    <w:p>
      <w:pPr>
        <w:spacing w:after="0" w:line="108"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Our directors, officers and holders of more than 5% of the Company’s outstanding ordinary shares as of the effective date of the registration statement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(6) months following the closing of the offering, such persons may not offer, sell, pledge or otherwise dispose of these securities without the prior written consent of the Underwriters.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In addition, the Selling Shareholder has agreed, subject to certain exceptions, to a six month “lock-up” period from the effective date of the registration statement of which this prospectus forms a part with respect to the Relevant Resale Shares that they beneficially own. This means that, for a period of six months following the closing of the offering, the Selling Shareholder may not offer, sell, pledge or otherwise dispose of these securities without the prior written consent of the Underwriters.</w:t>
      </w:r>
    </w:p>
    <w:p>
      <w:pPr>
        <w:spacing w:after="0" w:line="11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Underwriters have no present intention to waive or shorten the lock-up period; however, the terms of the lock-up agreements may be waived at their discretion. In determining whether to waive the terms of the lock-up agreements, each Underwriter may base its decision on its assessment of the relative strengths of the securities markets and companies similar to ours in general, and the trading pattern of, and demand for, our securities in general.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62" w:lineRule="exact"/>
        <w:rPr>
          <w:sz w:val="20"/>
          <w:szCs w:val="20"/>
          <w:color w:val="auto"/>
        </w:rPr>
      </w:pPr>
    </w:p>
    <w:p>
      <w:pPr>
        <w:ind w:left="460" w:right="819" w:firstLine="432"/>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ADS or our ordinary shares. The initial public offering price of the shares has been negotiated between us and the Underwriters.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Securities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Underwriters or selling group members, if any, participating in this offering and the Underwriters may distribute prospectuses electronically. The Underwriters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Underwriters, and should not be relied upon by investors.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transactions that stabilize, maintain or otherwise affect the price of our ADSs. Specifically, the Underwriters may sell more shares than they are obligated to purchase under the underwriting agreement, creating a short position. The Underwriters can close out a covered short sale by purchasing shares in the open market. The Underwriters must close out any naked short position by purchasing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21" w:lineRule="exact"/>
        <w:rPr>
          <w:sz w:val="20"/>
          <w:szCs w:val="20"/>
          <w:color w:val="auto"/>
        </w:rPr>
      </w:pPr>
    </w:p>
    <w:p>
      <w:pPr>
        <w:jc w:val="both"/>
        <w:ind w:left="460" w:right="79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95"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Finally, the Underwriters may bid for, and purchase, our ADSs in market making transactions, including “passive” market making transactions as described below.</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These activities may stabilize or maintain the market price of our ADSs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in the over-the-counter market,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passive market making transactions in our ADSs on the Nasdaq Capital Market in accordance with Rule 103 of Regulation M under the Exchange Act, during a period before the commencement of offers or sales of the shares and extending through the completion of the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6" w:lineRule="auto"/>
        <w:rPr>
          <w:sz w:val="20"/>
          <w:szCs w:val="20"/>
          <w:color w:val="auto"/>
        </w:rPr>
      </w:pPr>
      <w:r>
        <w:rPr>
          <w:rFonts w:ascii="Times New Roman" w:cs="Times New Roman" w:eastAsia="Times New Roman" w:hAnsi="Times New Roman"/>
          <w:sz w:val="18"/>
          <w:szCs w:val="18"/>
          <w:color w:val="auto"/>
        </w:rPr>
        <w:t>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162"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Underwriters and their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Underwriters may in the future perform a variety of such activities and services for us and for persons or entities with relationships with us for which they received or will receive customary fees, commissions and expenses.</w:t>
      </w:r>
    </w:p>
    <w:p>
      <w:pPr>
        <w:spacing w:after="0" w:line="106"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their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11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Such investments and securities activities may involve assets, securities and/or instruments of ours or our affiliates. The Underwriters and their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 outside the United States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6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106"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46"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jc w:val="both"/>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1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4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20"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Malaysia</w:t>
      </w:r>
    </w:p>
    <w:p>
      <w:pPr>
        <w:spacing w:after="0" w:line="16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4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58" w:lineRule="exact"/>
        <w:rPr>
          <w:sz w:val="20"/>
          <w:szCs w:val="20"/>
          <w:color w:val="auto"/>
        </w:rPr>
      </w:pPr>
    </w:p>
    <w:p>
      <w:pPr>
        <w:jc w:val="both"/>
        <w:ind w:left="1320" w:right="719" w:hanging="434"/>
        <w:spacing w:after="0" w:line="266"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81" w:lineRule="exact"/>
        <w:rPr>
          <w:sz w:val="20"/>
          <w:szCs w:val="20"/>
          <w:color w:val="auto"/>
        </w:rPr>
      </w:pPr>
    </w:p>
    <w:p>
      <w:pPr>
        <w:ind w:left="460" w:right="67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12" w:lineRule="exact"/>
        <w:rPr>
          <w:sz w:val="20"/>
          <w:szCs w:val="20"/>
          <w:color w:val="auto"/>
        </w:rPr>
      </w:pPr>
    </w:p>
    <w:p>
      <w:pPr>
        <w:ind w:left="1320" w:right="659" w:hanging="434"/>
        <w:spacing w:after="0" w:line="266"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63" w:lineRule="exact"/>
        <w:rPr>
          <w:sz w:val="20"/>
          <w:szCs w:val="20"/>
          <w:color w:val="auto"/>
        </w:rPr>
      </w:pPr>
    </w:p>
    <w:p>
      <w:pPr>
        <w:ind w:left="46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SFA Product Classification: </w:t>
      </w:r>
      <w:r>
        <w:rPr>
          <w:rFonts w:ascii="Times New Roman" w:cs="Times New Roman" w:eastAsia="Times New Roman" w:hAnsi="Times New Roman"/>
          <w:sz w:val="18"/>
          <w:szCs w:val="18"/>
          <w:i w:val="1"/>
          <w:iCs w:val="1"/>
          <w:color w:val="auto"/>
        </w:rPr>
        <w:t>In accordance with Section 309B of the SFA,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Purchasers are advised to seek legal advice prior to any resale of the securities.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People’s Republic of China</w:t>
      </w:r>
    </w:p>
    <w:p>
      <w:pPr>
        <w:spacing w:after="0" w:line="133"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46"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Taiwan</w:t>
      </w:r>
    </w:p>
    <w:p>
      <w:pPr>
        <w:spacing w:after="0" w:line="133"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Indonesia</w:t>
      </w:r>
    </w:p>
    <w:p>
      <w:pPr>
        <w:spacing w:after="0" w:line="133"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Vietnam</w:t>
      </w:r>
    </w:p>
    <w:p>
      <w:pPr>
        <w:spacing w:after="0" w:line="14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Thailand</w:t>
      </w:r>
    </w:p>
    <w:p>
      <w:pPr>
        <w:spacing w:after="0" w:line="119" w:lineRule="exact"/>
        <w:rPr>
          <w:sz w:val="20"/>
          <w:szCs w:val="20"/>
          <w:color w:val="auto"/>
        </w:rPr>
      </w:pPr>
    </w:p>
    <w:p>
      <w:pPr>
        <w:jc w:val="both"/>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Korea</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New Zealand</w:t>
      </w:r>
    </w:p>
    <w:p>
      <w:pPr>
        <w:spacing w:after="0" w:line="133"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539"/>
        <w:spacing w:after="0" w:line="289" w:lineRule="auto"/>
        <w:rPr>
          <w:sz w:val="20"/>
          <w:szCs w:val="20"/>
          <w:color w:val="auto"/>
        </w:rPr>
      </w:pPr>
      <w:r>
        <w:rPr>
          <w:rFonts w:ascii="Times New Roman" w:cs="Times New Roman" w:eastAsia="Times New Roman" w:hAnsi="Times New Roman"/>
          <w:sz w:val="17"/>
          <w:szCs w:val="17"/>
          <w:color w:val="auto"/>
        </w:rPr>
        <w:t>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50" w:lineRule="exact"/>
        <w:rPr>
          <w:sz w:val="20"/>
          <w:szCs w:val="20"/>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FMCA; or</w:t>
      </w:r>
    </w:p>
    <w:p>
      <w:pPr>
        <w:spacing w:after="0" w:line="11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FMCA. The Securities are not being offered or sold to retail investors in New Zealand.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Cayman Islands</w:t>
      </w:r>
    </w:p>
    <w:p>
      <w:pPr>
        <w:spacing w:after="0" w:line="133"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48"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Application and Listing Fee</w:t>
            </w:r>
          </w:p>
        </w:tc>
        <w:tc>
          <w:tcPr>
            <w:tcW w:w="3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Advisory and Other Expenses</w:t>
            </w:r>
          </w:p>
        </w:tc>
        <w:tc>
          <w:tcPr>
            <w:tcW w:w="32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20" w:type="dxa"/>
            <w:vAlign w:val="bottom"/>
          </w:tcPr>
          <w:p>
            <w:pPr>
              <w:spacing w:after="0"/>
              <w:rPr>
                <w:sz w:val="21"/>
                <w:szCs w:val="21"/>
                <w:color w:val="auto"/>
              </w:rPr>
            </w:pPr>
          </w:p>
        </w:tc>
        <w:tc>
          <w:tcPr>
            <w:tcW w:w="5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3,550,380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2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123</w:t>
            </w: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 New York State law. Sichenzia Ross Ference Carmel LLP is representing the Underwriters with respect to certain legal matters as to the United States federal and New York State law. The validity of the ordinary shares represented by the ADSs offered in this offering and certain other legal matters as to Cayman Islands law will be passed upon for us by Maples and Calder (Hong Kong) LLP.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2023 and 2022, and for each of the two years in the period ended December 31, 2023,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16" w:lineRule="exact"/>
        <w:rPr>
          <w:sz w:val="20"/>
          <w:szCs w:val="20"/>
          <w:color w:val="auto"/>
        </w:rPr>
      </w:pPr>
    </w:p>
    <w:p>
      <w:pPr>
        <w:ind w:left="460" w:right="1279" w:firstLine="432"/>
        <w:spacing w:after="0" w:line="282" w:lineRule="auto"/>
        <w:rPr>
          <w:sz w:val="20"/>
          <w:szCs w:val="20"/>
          <w:color w:val="auto"/>
        </w:rPr>
      </w:pPr>
      <w:r>
        <w:rPr>
          <w:rFonts w:ascii="Times New Roman" w:cs="Times New Roman" w:eastAsia="Times New Roman" w:hAnsi="Times New Roman"/>
          <w:sz w:val="18"/>
          <w:szCs w:val="18"/>
          <w:color w:val="auto"/>
        </w:rPr>
        <w:t>The office of Marcum Asia CPAs LLP is located at 7 Pennsylvania Plaza Suite 830, New York, NY 10001,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20"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9"/>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TRIDENT DIGITAL TECH HOLDINGS LTD</w:t>
            </w:r>
          </w:p>
        </w:tc>
        <w:tc>
          <w:tcPr>
            <w:tcW w:w="8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40" w:type="dxa"/>
            <w:vAlign w:val="bottom"/>
            <w:gridSpan w:val="9"/>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4"/>
        </w:trPr>
        <w:tc>
          <w:tcPr>
            <w:tcW w:w="728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2023 AND 2022</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5"/>
        </w:trPr>
        <w:tc>
          <w:tcPr>
            <w:tcW w:w="72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164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5395)</w:t>
            </w:r>
          </w:p>
        </w:tc>
        <w:tc>
          <w:tcPr>
            <w:tcW w:w="16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84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OPERATIONS AND COMPREHENSIVE LOSS FOR</w:t>
            </w:r>
          </w:p>
        </w:tc>
        <w:tc>
          <w:tcPr>
            <w:tcW w:w="4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YEARS ENDED DECEMBER 31, 2023 AND 2022</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2023 AND 2022</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31, 2023 AND 2022</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jc w:val="center"/>
              <w:ind w:right="252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Trident Digital Tech Holdings Ltd</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Trident Digital Tech Holdings Ltd (the “Company”) as of December 31, 2023 and 2022, the related consolidated statements of operations and comprehensive loss, changes in equity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19,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BALANCE SHEETS (In U.S. dollars, except for share and per share data, or otherwise noted)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1,808,603</w:t>
            </w:r>
          </w:p>
        </w:tc>
        <w:tc>
          <w:tcPr>
            <w:tcW w:w="4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341,808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1,046,187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337,920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451,217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202,777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1,639,233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1,494,082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1,842,010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202,289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572,186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654,063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524,560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733,189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430,554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277,699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176,589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1,208,679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1,385,268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December 31, 2023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 4,000,000,000 Class B ordinary shares authorized,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451,964,286 and 360,205,000 Class B ordinary shares issued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8,426,684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(6,183,545)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184,491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ectPr>
          <w:pgSz w:w="11900" w:h="16838" w:orient="portrait"/>
          <w:cols w:equalWidth="0" w:num="1">
            <w:col w:w="9019"/>
          </w:cols>
          <w:pgMar w:left="1440" w:top="270" w:right="1440" w:bottom="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121"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OPERATIONS AND COMPREHENSIVE LOSS (In U.S. dollars, except for share and per share data, or otherwise noted)</w:t>
      </w:r>
    </w:p>
    <w:p>
      <w:pPr>
        <w:spacing w:after="0" w:line="137"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1,483,109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1,262,899</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(1,000,689)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(241,344)</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(989,774)</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(287,578)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36,539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136,576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(4,774,087)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(1,124,696)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1"/>
        </w:trPr>
        <w:tc>
          <w:tcPr>
            <w:tcW w:w="5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222,279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454,940,744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162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960" w:type="dxa"/>
            <w:vAlign w:val="bottom"/>
            <w:gridSpan w:val="5"/>
            <w:vMerge w:val="restart"/>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Subscription</w:t>
            </w:r>
          </w:p>
        </w:tc>
        <w:tc>
          <w:tcPr>
            <w:tcW w:w="100" w:type="dxa"/>
            <w:vAlign w:val="bottom"/>
          </w:tcPr>
          <w:p>
            <w:pPr>
              <w:spacing w:after="0"/>
              <w:rPr>
                <w:sz w:val="10"/>
                <w:szCs w:val="10"/>
                <w:color w:val="auto"/>
              </w:rPr>
            </w:pPr>
          </w:p>
        </w:tc>
        <w:tc>
          <w:tcPr>
            <w:tcW w:w="78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line="145"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120" w:type="dxa"/>
            <w:vAlign w:val="bottom"/>
            <w:gridSpan w:val="5"/>
            <w:vMerge w:val="restart"/>
          </w:tcPr>
          <w:p>
            <w:pPr>
              <w:ind w:left="60"/>
              <w:spacing w:after="0" w:line="14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7"/>
        </w:trPr>
        <w:tc>
          <w:tcPr>
            <w:tcW w:w="14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20"/>
                <w:szCs w:val="20"/>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20"/>
                <w:szCs w:val="20"/>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20"/>
                <w:szCs w:val="20"/>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20"/>
                <w:szCs w:val="20"/>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(loss)/income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6"/>
        </w:trPr>
        <w:tc>
          <w:tcPr>
            <w:tcW w:w="14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410,205,000</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4,102</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35,349</w:t>
            </w: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35,119</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(1,129,489)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(1,129,489)</w:t>
            </w: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32,164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(229,201)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174"/>
        </w:trPr>
        <w:tc>
          <w:tcPr>
            <w:tcW w:w="14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410,205,000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4,102</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32,240</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(1,323,341)</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(37,788)</w:t>
            </w:r>
          </w:p>
        </w:tc>
        <w:tc>
          <w:tcPr>
            <w:tcW w:w="4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(1,324,787)</w:t>
            </w:r>
          </w:p>
        </w:tc>
        <w:tc>
          <w:tcPr>
            <w:tcW w:w="0" w:type="dxa"/>
            <w:vAlign w:val="bottom"/>
          </w:tcPr>
          <w:p>
            <w:pPr>
              <w:spacing w:after="0"/>
              <w:rPr>
                <w:sz w:val="1"/>
                <w:szCs w:val="1"/>
                <w:color w:val="auto"/>
              </w:rPr>
            </w:pPr>
          </w:p>
        </w:tc>
      </w:tr>
      <w:tr>
        <w:trPr>
          <w:trHeight w:val="224"/>
        </w:trPr>
        <w:tc>
          <w:tcPr>
            <w:tcW w:w="14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(4,774,087)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(4,774,087)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91,759,286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8,394,444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8,395,362</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(86,117)</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(86,117)</w:t>
            </w: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222,279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222,279</w:t>
            </w:r>
          </w:p>
        </w:tc>
        <w:tc>
          <w:tcPr>
            <w:tcW w:w="0" w:type="dxa"/>
            <w:vAlign w:val="bottom"/>
          </w:tcPr>
          <w:p>
            <w:pPr>
              <w:spacing w:after="0"/>
              <w:rPr>
                <w:sz w:val="1"/>
                <w:szCs w:val="1"/>
                <w:color w:val="auto"/>
              </w:rPr>
            </w:pPr>
          </w:p>
        </w:tc>
      </w:tr>
      <w:tr>
        <w:trPr>
          <w:trHeight w:val="27"/>
        </w:trPr>
        <w:tc>
          <w:tcPr>
            <w:tcW w:w="1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501,964,286</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5,020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8,426,684</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(6,183,545)</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184,491</w:t>
            </w:r>
          </w:p>
        </w:tc>
        <w:tc>
          <w:tcPr>
            <w:tcW w:w="4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CASH FLOWS (In U.S. dollars, except for share and per share data, or otherwise noted)</w:t>
      </w:r>
    </w:p>
    <w:p>
      <w:pPr>
        <w:spacing w:after="0" w:line="1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  (4,774,087)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16,867</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366,852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101,099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Changes in assets and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71,232</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cost assets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(73,299)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(268,509)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(92,295)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(309,366)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(111,981)</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(15,936)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166,358</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(81,877)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461,128</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(28,108)</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(10,399)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(340,756)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(127,196)</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286,404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249,052</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(4,942,098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(609,946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(73,885)</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(139,757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(73,885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 and subscription fees advance from shareholders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8,242,988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524,560</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(204,638)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(903,132)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distribution</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(229,201)</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bank loans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652,789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(391,520)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(79,067)</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1,047,894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748,533</w:t>
            </w: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(1,814,818)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(239,357)</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1,378,257</w:t>
            </w:r>
          </w:p>
        </w:tc>
      </w:tr>
      <w:tr>
        <w:trPr>
          <w:trHeight w:val="277"/>
        </w:trPr>
        <w:tc>
          <w:tcPr>
            <w:tcW w:w="56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(22,754)</w:t>
            </w:r>
          </w:p>
        </w:tc>
      </w:tr>
      <w:tr>
        <w:trPr>
          <w:trHeight w:val="283"/>
        </w:trPr>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863,338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671,672</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945,265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94"/>
        </w:trPr>
        <w:tc>
          <w:tcPr>
            <w:tcW w:w="5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w:t>
            </w: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9"/>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48,978</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17,813</w:t>
            </w:r>
          </w:p>
        </w:tc>
      </w:tr>
      <w:tr>
        <w:trPr>
          <w:trHeight w:val="283"/>
        </w:trPr>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494,642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1,561,203</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 (Note 12)</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(36,266)</w:t>
            </w:r>
          </w:p>
        </w:tc>
      </w:tr>
      <w:tr>
        <w:trPr>
          <w:trHeight w:val="40"/>
        </w:trPr>
        <w:tc>
          <w:tcPr>
            <w:tcW w:w="5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50" w:orient="portrait"/>
          <w:cols w:equalWidth="0" w:num="1">
            <w:col w:w="9019"/>
          </w:cols>
          <w:pgMar w:left="1440" w:top="270" w:right="1440" w:bottom="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0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Company was incorporated under the law of Cayman Islands as an exempted company with limited liability on June 12, 2023.</w:t>
      </w:r>
    </w:p>
    <w:p>
      <w:pPr>
        <w:spacing w:after="0" w:line="9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95"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(“Trident”) was incorporated on May 10, 2022 in Singapore. It is mainly engaged in e-commerce service.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(“IPO”) of its equity securities, the Company undertook a reorganization (the “Reorganization”), which involved in following steps:</w:t>
      </w:r>
    </w:p>
    <w:p>
      <w:pPr>
        <w:spacing w:after="0" w:line="94" w:lineRule="exact"/>
        <w:rPr>
          <w:sz w:val="20"/>
          <w:szCs w:val="20"/>
          <w:color w:val="auto"/>
        </w:rPr>
      </w:pPr>
    </w:p>
    <w:p>
      <w:pPr>
        <w:ind w:left="880" w:right="479"/>
        <w:spacing w:after="0" w:line="439" w:lineRule="auto"/>
        <w:rPr>
          <w:sz w:val="20"/>
          <w:szCs w:val="20"/>
          <w:color w:val="auto"/>
        </w:rPr>
      </w:pPr>
      <w:r>
        <w:rPr>
          <w:rFonts w:ascii="Times New Roman" w:cs="Times New Roman" w:eastAsia="Times New Roman" w:hAnsi="Times New Roman"/>
          <w:sz w:val="17"/>
          <w:szCs w:val="17"/>
          <w:color w:val="auto"/>
        </w:rPr>
        <w:t>On July 3, 2023, the Company acquired 100% of the equity interests in QZT from its original shareholder; On July 4, 2023, QZT acquired 100% of the equity interests in Trident from its original shareholder;</w:t>
      </w: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Effective on July 4, 2023, the Company became the ultimate holding company of QZT and Trident, which were all controlled by the same shareholder before and after the Reorganization.</w:t>
      </w:r>
    </w:p>
    <w:p>
      <w:pPr>
        <w:spacing w:after="0" w:line="94"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9" w:lineRule="exact"/>
        <w:rPr>
          <w:sz w:val="20"/>
          <w:szCs w:val="20"/>
          <w:color w:val="auto"/>
        </w:rPr>
      </w:pPr>
    </w:p>
    <w:p>
      <w:pPr>
        <w:ind w:left="860" w:hanging="406"/>
        <w:spacing w:after="0"/>
        <w:tabs>
          <w:tab w:leader="none" w:pos="8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7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hanging="426"/>
        <w:spacing w:after="0"/>
        <w:tabs>
          <w:tab w:leader="none" w:pos="88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w:t>
      </w:r>
    </w:p>
    <w:p>
      <w:pPr>
        <w:spacing w:after="0" w:line="148"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10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(d)</w:t>
        <w:tab/>
        <w:t>Credit losses</w:t>
      </w:r>
    </w:p>
    <w:p>
      <w:pPr>
        <w:spacing w:after="0" w:line="16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On January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the Group’s financial statements.</w:t>
      </w:r>
    </w:p>
    <w:p>
      <w:pPr>
        <w:spacing w:after="0" w:line="10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Group’s accounts receivable, amounts due from related parties and other receivables which is included prepaid expenses and other current assets line item in the balance sheet are within the scope of ASC Topic 326. The Group uses an aging schedule method in combination with current situation adjustment, to determine the loss rate of receivable balances and evaluate the expected credit losses on an individual basis. When establishing the loss rate, the Group makes the assessment based on various factors, including aging of receivable balances, historical experience, credit-worthiness of debtor, current economic conditions, reasonable and supportable forecasts of future economic, and other factors that may affect the Group’s ability to collect from the debtors. The Group also applies current situation adjustment to provide specific provisions for allowance when facts and circumstances indicate that the receivable is unlikely to be collected.</w:t>
      </w:r>
    </w:p>
    <w:p>
      <w:pPr>
        <w:spacing w:after="0" w:line="12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Expected credit losses are included in general and administrative expenses in the consolidated statements of operations and comprehensive loss. After all attempts to collect a receivable have failed, the receivable is written off against the allowance.</w:t>
      </w:r>
    </w:p>
    <w:p>
      <w:pPr>
        <w:spacing w:after="0" w:line="172" w:lineRule="exact"/>
        <w:rPr>
          <w:sz w:val="20"/>
          <w:szCs w:val="20"/>
          <w:color w:val="auto"/>
        </w:rPr>
      </w:pPr>
    </w:p>
    <w:p>
      <w:pPr>
        <w:ind w:left="880" w:hanging="426"/>
        <w:spacing w:after="0"/>
        <w:tabs>
          <w:tab w:leader="none" w:pos="88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Accounts receivable, net is stated at the original amount less an allowance for doubtful receivable. Accounts receivable are recognized in the period when the Group has provided services to its customers and when its right to consideration is unconditional. Allowance for doubtful receivables were $7,299 and nil as of December 31,2023 and 2022.</w:t>
      </w:r>
    </w:p>
    <w:p>
      <w:pPr>
        <w:spacing w:after="0" w:line="176" w:lineRule="exact"/>
        <w:rPr>
          <w:sz w:val="20"/>
          <w:szCs w:val="20"/>
          <w:color w:val="auto"/>
        </w:rPr>
      </w:pPr>
    </w:p>
    <w:p>
      <w:pPr>
        <w:ind w:left="860" w:hanging="406"/>
        <w:spacing w:after="0"/>
        <w:tabs>
          <w:tab w:leader="none" w:pos="86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48"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0" w:type="dxa"/>
            <w:vAlign w:val="bottom"/>
          </w:tcPr>
          <w:p>
            <w:pPr>
              <w:spacing w:after="0"/>
              <w:rPr>
                <w:sz w:val="1"/>
                <w:szCs w:val="1"/>
                <w:color w:val="auto"/>
              </w:rPr>
            </w:pPr>
          </w:p>
        </w:tc>
      </w:tr>
      <w:tr>
        <w:trPr>
          <w:trHeight w:val="47"/>
        </w:trPr>
        <w:tc>
          <w:tcPr>
            <w:tcW w:w="49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Vehicle</w:t>
            </w:r>
          </w:p>
        </w:tc>
        <w:tc>
          <w:tcPr>
            <w:tcW w:w="100" w:type="dxa"/>
            <w:vAlign w:val="bottom"/>
            <w:vMerge w:val="continue"/>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5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8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Deferred offering costs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Deferred offering costs consist of legal, consulting, underwriting fees and other costs incurred through the balance sheet date that are directly related to the proposed public offering.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 As of December 31, 2023, the Group has recognized $1,046,187 deferred offering costs.</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(h)</w:t>
        <w:tab/>
        <w:t>Operating leases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adopted ASC 842 on January 1, 2021.</w:t>
      </w:r>
    </w:p>
    <w:p>
      <w:pPr>
        <w:spacing w:after="0" w:line="15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Right-of-use assets represent the Group’s right to use an underlying asset for the lease term and lease liabilities represent the Group’s obligation to make lease payments arising from the lease. Right-of-use assets is recognized initially at cost, which primarily comprises the initial amount of the lease liability, plus any initial direct costs incurred, consisting mainly of brokerage commissions, less any lease incentives received. All right-of-use assets are reviewed for impairment. There was no impairment for right-of-use lease assets as of December 31, 2022 and 2023.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w:t>
      </w:r>
    </w:p>
    <w:p>
      <w:pPr>
        <w:spacing w:after="0" w:line="121"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1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95"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 Group determines whether a contract is or contains a lease at inception of the contract and whether that lease meets the classification criteria of a finance or operating lease.</w:t>
      </w:r>
    </w:p>
    <w:p>
      <w:pPr>
        <w:spacing w:after="0" w:line="9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Group had no long-term leases that were classified as a financing lease, and the Group’s lease contracts only contain fixed lease payments and do not contain any residual value guarantee.</w:t>
      </w:r>
    </w:p>
    <w:p>
      <w:pPr>
        <w:spacing w:after="0" w:line="10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Group’s lease agreements do not contain any material residual value guarantees or material restrictive covenants.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60" w:hanging="406"/>
        <w:spacing w:after="0"/>
        <w:tabs>
          <w:tab w:leader="none" w:pos="86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 impairment of long-lived assets was recognized for the years ended December 31, 2023 and 2022.</w:t>
      </w:r>
    </w:p>
    <w:p>
      <w:pPr>
        <w:spacing w:after="0" w:line="221" w:lineRule="exact"/>
        <w:rPr>
          <w:sz w:val="20"/>
          <w:szCs w:val="20"/>
          <w:color w:val="auto"/>
        </w:rPr>
      </w:pPr>
    </w:p>
    <w:p>
      <w:pPr>
        <w:ind w:left="860" w:hanging="406"/>
        <w:spacing w:after="0"/>
        <w:tabs>
          <w:tab w:leader="none" w:pos="86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2" w:lineRule="exact"/>
        <w:rPr>
          <w:sz w:val="20"/>
          <w:szCs w:val="20"/>
          <w:color w:val="auto"/>
        </w:rPr>
      </w:pPr>
    </w:p>
    <w:p>
      <w:pPr>
        <w:ind w:left="1320" w:right="499" w:hanging="434"/>
        <w:spacing w:after="0" w:line="282"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94"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4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20" w:lineRule="exact"/>
        <w:rPr>
          <w:sz w:val="20"/>
          <w:szCs w:val="20"/>
          <w:color w:val="auto"/>
        </w:rPr>
      </w:pPr>
    </w:p>
    <w:p>
      <w:pPr>
        <w:ind w:left="460" w:right="679" w:firstLine="432"/>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accounts receivable, amounts due from related parties, other receivables, accounts payable, borrowings, amounts due to related parties, other payables. The carrying amounts of the Group’s financial instruments, including cash, accounts receivable, amounts due from related parties, other receivables, accounts payable, borrowings, amounts due to related parties, other payables, approximate their fair values because of their short-term nature.</w:t>
      </w:r>
    </w:p>
    <w:p>
      <w:pPr>
        <w:spacing w:after="0" w:line="17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(k)</w:t>
        <w:tab/>
        <w:t>Revenue recognition</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consulting</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No variable consideration, significant financing component, or non-cash payment is identified in the arrangements for transaction price with the customers.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 There is no significant returns, refund and other similar obligations during each reporting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customization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6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94"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contract payment is made by the customers as agreed in the contract, and no variable consideration, significant financing component, or non-cash payment is identified in the arrangements for transaction price with the customers. The revenue is recognized at a point in time when the customized software solution is successfully completed, delivered and accepted by customers. There is no significant returns, refund and other similar obligations during each reporting period.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spacing w:after="0" w:line="266" w:lineRule="auto"/>
        <w:rPr>
          <w:sz w:val="20"/>
          <w:szCs w:val="20"/>
          <w:color w:val="auto"/>
        </w:rPr>
      </w:pPr>
      <w:r>
        <w:rPr>
          <w:rFonts w:ascii="Times New Roman" w:cs="Times New Roman" w:eastAsia="Times New Roman" w:hAnsi="Times New Roman"/>
          <w:sz w:val="18"/>
          <w:szCs w:val="18"/>
          <w:color w:val="auto"/>
        </w:rPr>
        <w:t>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08"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5"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6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Group also generates revenue from selling event tickets on behalf of merchants in its own platform. The Group identifies one performance obligation in this business, which is to transfer control of an event ticket on behalf of merchants to a ticker buyer once an order has been confirmed. Payment from the ticket buyers is typically due upon order confirmation or delivery of the tickets.</w:t>
      </w:r>
    </w:p>
    <w:p>
      <w:pPr>
        <w:spacing w:after="0" w:line="11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acts as an agent and recognizes revenue on a net basis when the delivery of the ticket is in place, as the Group is not responsible for transferring the ticket service to the customer, and the Group does not bear any inventory risk.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categories</w:t>
      </w:r>
    </w:p>
    <w:p>
      <w:pPr>
        <w:spacing w:after="0" w:line="148"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years ended December 31, 2023 and 2022:</w:t>
      </w:r>
    </w:p>
    <w:p>
      <w:pPr>
        <w:spacing w:after="0" w:line="1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321,716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1,155,229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571,592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522,013</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583,637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6,164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1,483,109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10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$341,808 and $268,509 as of December 31, 2023 and 2022, respectively. The cost recognized for the years end December 31, 2023 and 2022 that was included in the contract asset balance at the beginning of the period were $268,509 and nil, respectively.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services in advance of revenue recognition and is recognized as revenue when all the Group’s revenue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recognition criteria are met. Contract assets and contract liabilities are reported in a net position on an individual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contract basis at the end of each reporting period. The Group’s deferred revenue was $572,186 and $654,063 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of December 31, 2023 and 2022, respectively. The revenue recognized for the years end December 31, 2023 and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that was included in the contract liability balance at the beginning of the period were $547,737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$173,852, respectively. All unsatisfied performance obligation will be performed within the next twelve months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no significant financing component is involved.</w:t>
      </w:r>
    </w:p>
    <w:p>
      <w:pPr>
        <w:spacing w:after="0" w:line="139"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Other than accounts receivable and deferred revenue, the Group had no other material contract assets or contract liabilities recorded on its consolidated balance sheets as of December 31, 2023 and 2022.</w:t>
      </w:r>
    </w:p>
    <w:p>
      <w:pPr>
        <w:spacing w:after="0" w:line="158" w:lineRule="exact"/>
        <w:rPr>
          <w:sz w:val="20"/>
          <w:szCs w:val="20"/>
          <w:color w:val="auto"/>
        </w:rPr>
      </w:pPr>
    </w:p>
    <w:p>
      <w:pPr>
        <w:ind w:left="860" w:hanging="406"/>
        <w:spacing w:after="0"/>
        <w:tabs>
          <w:tab w:leader="none" w:pos="860" w:val="left"/>
        </w:tabs>
        <w:numPr>
          <w:ilvl w:val="0"/>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Costs of revenue</w:t>
      </w:r>
    </w:p>
    <w:p>
      <w:pPr>
        <w:spacing w:after="0" w:line="14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Cost of revenue mainly comprised of direct labor costs, service fee paid to service suppliers, commission cost and generic cost.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Income taxes</w:t>
      </w:r>
    </w:p>
    <w:p>
      <w:pPr>
        <w:spacing w:after="0" w:line="162"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06"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2023 and 2022. Thus, management decided to record all of the valuation allowance. Valuation allowance amounted to $929,574 and $238,081 as of December 31, 2023 and 2022,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24"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16"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Group did not accrue any liability, interest or penalties related to uncertain tax positions in its provision for income taxes line of its consolidated statements of income for the years ended December 31, 2023 and 2022, respectively. The Group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10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(n)</w:t>
        <w:tab/>
        <w:t>Goods and services taxes</w:t>
      </w:r>
    </w:p>
    <w:p>
      <w:pPr>
        <w:spacing w:after="0" w:line="14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in Singapore is generally 7% and 8% for the years ended December 31, 2022 and 2023, respectively. Entities that are GST general taxpayers are allowed to offset qualified input GST paid to suppliers against their output GST liabilities. Net GST balance between input GST and output GST is recorded in tax payable.</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(o)</w:t>
        <w:tab/>
        <w:t>Employee benefits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$134,063 and $78,445 for the years ended December 31, 2023 and 2022, respectively.</w:t>
      </w:r>
    </w:p>
    <w:p>
      <w:pPr>
        <w:spacing w:after="0" w:line="16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Foreign currency transactions and translations</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2"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9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 Translation of foreign currencies into US$1 have been made at the following exchange rates for the respective periods: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r>
      <w:tr>
        <w:trPr>
          <w:trHeight w:val="376"/>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(q)</w:t>
        <w:tab/>
        <w:t>Comprehensive loss</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income/(loss). The foreign currency translation gain or loss resulting from translation of the financial statements expressed in SGD to USD is reported in other comprehensive income in the consolidated statements of operations and comprehensive loss.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hanging="426"/>
        <w:spacing w:after="0"/>
        <w:tabs>
          <w:tab w:leader="none" w:pos="88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Loss per share</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taking into consideration the deemed dividends to preferred shareholders (if any), by the weighted average number of ordinary shares outstanding during the year using the two-class method. Under the two-class method, net loss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 per share as of the date that all necessary conditions have been satisfied. Net loss are not allocated to other participating securities if based on their contractual terms they are not obligated to share the losses.</w:t>
      </w:r>
    </w:p>
    <w:p>
      <w:pPr>
        <w:spacing w:after="0" w:line="12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2023 and 2022.</w:t>
      </w:r>
    </w:p>
    <w:p>
      <w:pPr>
        <w:spacing w:after="0" w:line="183" w:lineRule="exact"/>
        <w:rPr>
          <w:sz w:val="20"/>
          <w:szCs w:val="20"/>
          <w:color w:val="auto"/>
        </w:rPr>
      </w:pPr>
    </w:p>
    <w:p>
      <w:pPr>
        <w:ind w:left="880" w:hanging="426"/>
        <w:spacing w:after="0"/>
        <w:tabs>
          <w:tab w:leader="none" w:pos="88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85" w:lineRule="exact"/>
        <w:rPr>
          <w:sz w:val="20"/>
          <w:szCs w:val="20"/>
          <w:color w:val="auto"/>
        </w:rPr>
      </w:pPr>
    </w:p>
    <w:p>
      <w:pPr>
        <w:ind w:left="860" w:hanging="406"/>
        <w:spacing w:after="0"/>
        <w:tabs>
          <w:tab w:leader="none" w:pos="860" w:val="left"/>
        </w:tabs>
        <w:numPr>
          <w:ilvl w:val="0"/>
          <w:numId w:val="1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48"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(u)</w:t>
        <w:tab/>
        <w:t>Recent accounting pronouncements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20"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The Group expects that no material effect of the adoption of this ASU.</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Reporting — Overall, 440-10 Commitments — Overall, 470-10 Debt — Overall, 505-10</w:t>
      </w:r>
    </w:p>
    <w:p>
      <w:pPr>
        <w:spacing w:after="0" w:line="9" w:lineRule="exact"/>
        <w:rPr>
          <w:sz w:val="20"/>
          <w:szCs w:val="20"/>
          <w:color w:val="auto"/>
        </w:rPr>
      </w:pPr>
    </w:p>
    <w:p>
      <w:pPr>
        <w:ind w:left="460" w:right="539"/>
        <w:spacing w:after="0" w:line="250" w:lineRule="auto"/>
        <w:rPr>
          <w:sz w:val="20"/>
          <w:szCs w:val="20"/>
          <w:color w:val="auto"/>
        </w:rPr>
      </w:pPr>
      <w:r>
        <w:rPr>
          <w:rFonts w:ascii="Times New Roman" w:cs="Times New Roman" w:eastAsia="Times New Roman" w:hAnsi="Times New Roman"/>
          <w:sz w:val="18"/>
          <w:szCs w:val="18"/>
          <w:color w:val="auto"/>
        </w:rPr>
        <w:t>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w:t>
      </w:r>
    </w:p>
    <w:p>
      <w:pPr>
        <w:spacing w:after="0" w:line="1" w:lineRule="exact"/>
        <w:rPr>
          <w:sz w:val="20"/>
          <w:szCs w:val="20"/>
          <w:color w:val="auto"/>
        </w:rPr>
      </w:pPr>
    </w:p>
    <w:p>
      <w:pPr>
        <w:ind w:left="460" w:right="539"/>
        <w:spacing w:after="0" w:line="251" w:lineRule="auto"/>
        <w:rPr>
          <w:sz w:val="20"/>
          <w:szCs w:val="20"/>
          <w:color w:val="auto"/>
        </w:rPr>
      </w:pPr>
      <w:r>
        <w:rPr>
          <w:rFonts w:ascii="Times New Roman" w:cs="Times New Roman" w:eastAsia="Times New Roman" w:hAnsi="Times New Roman"/>
          <w:sz w:val="18"/>
          <w:szCs w:val="18"/>
          <w:color w:val="auto"/>
        </w:rPr>
        <w:t>Estate — Real Estate Investment 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The Group is in the process of evaluating the effect of the adoption of this ASU.</w:t>
      </w:r>
    </w:p>
    <w:p>
      <w:pPr>
        <w:spacing w:after="0" w:line="126"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expects the adoption of this ASU will not have a material effect on the consolidated financial statements.</w:t>
      </w:r>
    </w:p>
    <w:p>
      <w:pPr>
        <w:spacing w:after="0" w:line="111"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76" w:lineRule="exact"/>
        <w:rPr>
          <w:sz w:val="20"/>
          <w:szCs w:val="20"/>
          <w:color w:val="auto"/>
        </w:rPr>
      </w:pPr>
    </w:p>
    <w:p>
      <w:pPr>
        <w:ind w:left="860" w:hanging="406"/>
        <w:spacing w:after="0"/>
        <w:tabs>
          <w:tab w:leader="none" w:pos="8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Accounting Standards Update (“ASU”) 2014-15, “Disclosure of Uncertainties about an Entity’s Ability to Continue as a Going Concern (Subtopic 205-40)”, the Group has evaluated whether there are conditions and events, considered in the aggregate, that raise substantial doubt about the Group’s ability to continue as a going concern within one year after the date that the consolidated financial statements are issued. The Group incurred net loss of $4,774,087 and $1,129,489 for the years ended December 31, 2023 and 2022, respectively. Net cash used in operating activities were $4,892,225 and $609,946 for the years ended December 31, 2023 and 2022, respectively. Accumulated deficit were $6,183,545 and $1,323,341 as of December 31, 2023 and 2022, respectively. These conditions raised substantial doubts about the Group’s ability to continue as a going concern.</w:t>
      </w:r>
    </w:p>
    <w:p>
      <w:pPr>
        <w:spacing w:after="0" w:line="12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Group has funded its operations from both operational sources of cash and equity and debt financing. The Group’s liquidity is based on its ability to generate cash from operating activities, obtain capital financing from equity interest investors and borrow funds from financial institutions. The Company’s ability to continue as a going concern is dependent on management’s ability to successfully execute its business plan, which includes generating revenue while controlling operating cost and expenses to generate positive operating cash flows and obtaining funds from outside sources of financing to generate positive financing cash flows. As of December 31, 2023, the Group had cash of $945,265 and positive working capital of $1,975,908. The Group intends to pursue private financing of debt or equity. There can be no assurances, however, that the current operating plan will be achieved or that additional funding will be available on terms acceptable to the Group, or at all. If the Group is unable to obtain sufficient funding, it could be required to delay its development efforts and limit activities, which could adversely affect its business and the consolidated financial statements.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LIQUIDITY AND GOING CONCERN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Considering the current financial factors raise doubt about the Group’s ability to continue as a going concern, management has made mitigation plan to alleviate liquidity pressure, including: (i) a loan agreement signed on March 24, 2024, with an amount of $742,818 (SGD980,000), provided by the ultimate controller, Mr. Soon Huat Lim, of which the Group has received $742,818 (SGD980,000) as of April 16, 2024; ii) Mr. Soon Huat Lim provided a financial support letter to the Company, pursuant to which up to $1,894,944 (SGD 2,500,000) cash can be further provided for future fund shortage and (iii) future efforts to improve operating efficiency and reduce discretionary spending which may have connections with the planned timing schedule of completing its IPO. Taking into consideration all these actions mentioned above, management concluded that the substantial doubt on the Group’s ability to continue as a going concern can be alleviated through the effective implementation of the plans.</w:t>
      </w:r>
    </w:p>
    <w:p>
      <w:pPr>
        <w:spacing w:after="0" w:line="86"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Accordingly, the accompanying consolidated financial statements have been prepared on the basis the Group will be able to continue as a going concern for a period of one year after the issuance of the consolidated financial statements. The consolidated financial statements do not include any adjustments related to the recoverability or classification of asset and the amounts or classification of liabilities that may result from the outcome of this uncertainty.</w:t>
      </w:r>
    </w:p>
    <w:p>
      <w:pPr>
        <w:spacing w:after="0" w:line="139" w:lineRule="exact"/>
        <w:rPr>
          <w:sz w:val="20"/>
          <w:szCs w:val="20"/>
          <w:color w:val="auto"/>
        </w:rPr>
      </w:pPr>
    </w:p>
    <w:p>
      <w:pPr>
        <w:ind w:left="860" w:hanging="406"/>
        <w:spacing w:after="0"/>
        <w:tabs>
          <w:tab w:leader="none" w:pos="8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2,198</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$7,172 and nil bad debt expense for the years ended December 31, 2023 and 2022.</w:t>
      </w:r>
    </w:p>
    <w:p>
      <w:pPr>
        <w:spacing w:after="0" w:line="181" w:lineRule="exact"/>
        <w:rPr>
          <w:sz w:val="20"/>
          <w:szCs w:val="20"/>
          <w:color w:val="auto"/>
        </w:rPr>
      </w:pPr>
    </w:p>
    <w:p>
      <w:pPr>
        <w:ind w:left="880" w:right="3499" w:hanging="426"/>
        <w:spacing w:after="0" w:line="458" w:lineRule="auto"/>
        <w:tabs>
          <w:tab w:leader="none" w:pos="85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5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113,339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0" w:type="dxa"/>
            <w:vAlign w:val="bottom"/>
          </w:tcPr>
          <w:p>
            <w:pPr>
              <w:spacing w:after="0"/>
              <w:rPr>
                <w:sz w:val="1"/>
                <w:szCs w:val="1"/>
                <w:color w:val="auto"/>
              </w:rPr>
            </w:pP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84,423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86,355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451,217</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141,851</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3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60" w:type="dxa"/>
            <w:vAlign w:val="bottom"/>
            <w:vMerge w:val="continue"/>
          </w:tcPr>
          <w:p>
            <w:pPr>
              <w:spacing w:after="0"/>
              <w:rPr>
                <w:sz w:val="24"/>
                <w:szCs w:val="24"/>
                <w:color w:val="auto"/>
              </w:rPr>
            </w:pPr>
          </w:p>
        </w:tc>
        <w:tc>
          <w:tcPr>
            <w:tcW w:w="5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5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126,399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124,917</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0" w:type="dxa"/>
            <w:vAlign w:val="bottom"/>
          </w:tcPr>
          <w:p>
            <w:pPr>
              <w:spacing w:after="0"/>
              <w:rPr>
                <w:sz w:val="1"/>
                <w:szCs w:val="1"/>
                <w:color w:val="auto"/>
              </w:rPr>
            </w:pPr>
          </w:p>
        </w:tc>
      </w:tr>
      <w:tr>
        <w:trPr>
          <w:trHeight w:val="2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273,760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129,444</w:t>
            </w:r>
          </w:p>
        </w:tc>
        <w:tc>
          <w:tcPr>
            <w:tcW w:w="0" w:type="dxa"/>
            <w:vAlign w:val="bottom"/>
          </w:tcPr>
          <w:p>
            <w:pPr>
              <w:spacing w:after="0"/>
              <w:rPr>
                <w:sz w:val="1"/>
                <w:szCs w:val="1"/>
                <w:color w:val="auto"/>
              </w:rPr>
            </w:pPr>
          </w:p>
        </w:tc>
      </w:tr>
      <w:tr>
        <w:trPr>
          <w:trHeight w:val="32"/>
        </w:trPr>
        <w:tc>
          <w:tcPr>
            <w:tcW w:w="5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202,777</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106,718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were $47,057 and $16,867 for the years ended December 31, 2023 and 2022, respectively.</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years ended December 31, 2023 and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44"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80" w:right="2879" w:hanging="426"/>
        <w:spacing w:after="0" w:line="483" w:lineRule="auto"/>
        <w:tabs>
          <w:tab w:leader="none" w:pos="853"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268,159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733,189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303,730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service fees payable to third parties.</w:t>
      </w:r>
    </w:p>
    <w:p>
      <w:pPr>
        <w:spacing w:after="0" w:line="226" w:lineRule="exact"/>
        <w:rPr>
          <w:sz w:val="20"/>
          <w:szCs w:val="20"/>
          <w:color w:val="auto"/>
        </w:rPr>
      </w:pPr>
    </w:p>
    <w:p>
      <w:pPr>
        <w:ind w:left="860" w:hanging="406"/>
        <w:spacing w:after="0"/>
        <w:tabs>
          <w:tab w:leader="none" w:pos="8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443,634</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2023 and 2022, the weighted average remaining lease term was 3.59 years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4.53 years, respectively, and the weighted average discount rate was 4.6% and 5.0% for the Group’s operating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leases, respectively.</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Lease Payments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290,298</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1,783,182</w:t>
            </w:r>
          </w:p>
        </w:tc>
      </w:tr>
      <w:tr>
        <w:trPr>
          <w:trHeight w:val="25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143,949</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1,639,233</w:t>
            </w:r>
          </w:p>
        </w:tc>
      </w:tr>
      <w:tr>
        <w:trPr>
          <w:trHeight w:val="25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430,554</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1,208,679</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18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60" w:type="dxa"/>
            <w:vAlign w:val="bottom"/>
          </w:tcPr>
          <w:p>
            <w:pPr>
              <w:spacing w:after="0"/>
              <w:rPr>
                <w:sz w:val="22"/>
                <w:szCs w:val="22"/>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(4,774,087)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(1,124,696)</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(811,595)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(191,198)</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Singapore tax rebate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4,793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significant components of the deferred tax assets are summarized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37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r>
      <w:tr>
        <w:trPr>
          <w:trHeight w:val="46"/>
        </w:trPr>
        <w:tc>
          <w:tcPr>
            <w:tcW w:w="370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912,242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164,313</w:t>
            </w: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249,558</w:t>
            </w: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111,191</w:t>
            </w: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provision</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1,289,425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525,062</w:t>
            </w:r>
          </w:p>
        </w:tc>
        <w:tc>
          <w:tcPr>
            <w:tcW w:w="160" w:type="dxa"/>
            <w:vAlign w:val="bottom"/>
          </w:tcPr>
          <w:p>
            <w:pPr>
              <w:spacing w:after="0"/>
              <w:rPr>
                <w:sz w:val="20"/>
                <w:szCs w:val="20"/>
                <w:color w:val="auto"/>
              </w:rPr>
            </w:pPr>
          </w:p>
        </w:tc>
      </w:tr>
      <w:tr>
        <w:trPr>
          <w:trHeight w:val="32"/>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83"/>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(929,574)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(238,081)</w:t>
            </w:r>
          </w:p>
        </w:tc>
      </w:tr>
      <w:tr>
        <w:trPr>
          <w:trHeight w:val="2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60" w:type="dxa"/>
            <w:vAlign w:val="bottom"/>
          </w:tcPr>
          <w:p>
            <w:pPr>
              <w:spacing w:after="0"/>
              <w:rPr>
                <w:sz w:val="20"/>
                <w:szCs w:val="20"/>
                <w:color w:val="auto"/>
              </w:rPr>
            </w:pPr>
          </w:p>
        </w:tc>
      </w:tr>
      <w:tr>
        <w:trPr>
          <w:trHeight w:val="32"/>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84"/>
        </w:trPr>
        <w:tc>
          <w:tcPr>
            <w:tcW w:w="37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(278,670)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(253,994)</w:t>
            </w: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(22,686)</w:t>
            </w:r>
          </w:p>
        </w:tc>
      </w:tr>
      <w:tr>
        <w:trPr>
          <w:trHeight w:val="41"/>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(10,301)</w:t>
            </w:r>
          </w:p>
        </w:tc>
      </w:t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(359,851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37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37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64"/>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8"/>
        </w:trPr>
        <w:tc>
          <w:tcPr>
            <w:tcW w:w="37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F-19</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135"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675,650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929,574</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net operating loss carried forward of $5,366,129. This net operating loss can be carried forward indefinitely.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December 31, 2023 and 2022, the Group did not have any significant unrecognized uncertain tax positions. The Group did not incur interest and penalties tax for the years ended December 31, 2023 and 2022. As of December 31, 2023, the tax years ended December 31, 2019 to 2023 for the Group’s Singapore subsidiaries remain open for statutory examination by any applicable tax authorities.</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2023 and 2022, summary of the borrowings is as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 and other</w:t>
            </w:r>
          </w:p>
        </w:tc>
        <w:tc>
          <w:tcPr>
            <w:tcW w:w="5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2"/>
            <w:vMerge w:val="continue"/>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institution</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760" w:type="dxa"/>
            <w:vAlign w:val="bottom"/>
            <w:gridSpan w:val="2"/>
            <w:vMerge w:val="continue"/>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OCBC Bank</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2.50%</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March 2021</w:t>
            </w:r>
          </w:p>
        </w:tc>
        <w:tc>
          <w:tcPr>
            <w:tcW w:w="1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March 2026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22,739</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5,564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237"/>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OCBC Bank</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4.25%</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2021</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September 2026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26,529</w:t>
            </w: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9,987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UOB Corporate</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2022</w:t>
            </w:r>
          </w:p>
        </w:tc>
        <w:tc>
          <w:tcPr>
            <w:tcW w:w="1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378,989</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70,622</w:t>
            </w:r>
          </w:p>
        </w:tc>
        <w:tc>
          <w:tcPr>
            <w:tcW w:w="0" w:type="dxa"/>
            <w:vAlign w:val="bottom"/>
          </w:tcPr>
          <w:p>
            <w:pPr>
              <w:spacing w:after="0"/>
              <w:rPr>
                <w:sz w:val="1"/>
                <w:szCs w:val="1"/>
                <w:color w:val="auto"/>
              </w:rPr>
            </w:pPr>
          </w:p>
        </w:tc>
      </w:tr>
      <w:tr>
        <w:trPr>
          <w:trHeight w:val="189"/>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Maybank Singapore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Limited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July 2022</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July 2027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303,191</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161,038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216,573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55,243</w:t>
            </w:r>
          </w:p>
        </w:tc>
        <w:tc>
          <w:tcPr>
            <w:tcW w:w="0" w:type="dxa"/>
            <w:vAlign w:val="bottom"/>
          </w:tcPr>
          <w:p>
            <w:pPr>
              <w:spacing w:after="0"/>
              <w:rPr>
                <w:sz w:val="1"/>
                <w:szCs w:val="1"/>
                <w:color w:val="auto"/>
              </w:rPr>
            </w:pPr>
          </w:p>
        </w:tc>
      </w:tr>
      <w:tr>
        <w:trPr>
          <w:trHeight w:val="33"/>
        </w:trPr>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731,448</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176,589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68,987</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498,572</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135,360</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1299" w:firstLine="432"/>
        <w:spacing w:after="0" w:line="312" w:lineRule="auto"/>
        <w:rPr>
          <w:sz w:val="20"/>
          <w:szCs w:val="20"/>
          <w:color w:val="auto"/>
        </w:rPr>
      </w:pPr>
      <w:r>
        <w:rPr>
          <w:rFonts w:ascii="Times New Roman" w:cs="Times New Roman" w:eastAsia="Times New Roman" w:hAnsi="Times New Roman"/>
          <w:sz w:val="17"/>
          <w:szCs w:val="17"/>
          <w:color w:val="auto"/>
        </w:rPr>
        <w:t>Interest expenses were $23,196 and $17,813 for the years ended December 31, 2023 and 2022, respectively. The borrowings above are guaranteed by the Group’s shareholder, Poh Kiong Tan.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December 31, 2023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7"/>
        </w:trPr>
        <w:tc>
          <w:tcPr>
            <w:tcW w:w="2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24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6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USD</w:t>
            </w:r>
          </w:p>
        </w:tc>
      </w:tr>
      <w:tr>
        <w:trPr>
          <w:trHeight w:val="47"/>
        </w:trPr>
        <w:tc>
          <w:tcPr>
            <w:tcW w:w="2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5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68,987</w:t>
            </w: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72,355</w:t>
            </w:r>
          </w:p>
        </w:tc>
      </w:tr>
      <w:tr>
        <w:trPr>
          <w:trHeight w:val="41"/>
        </w:trPr>
        <w:tc>
          <w:tcPr>
            <w:tcW w:w="24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5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70,400</w:t>
            </w:r>
          </w:p>
        </w:tc>
      </w:tr>
      <w:tr>
        <w:trPr>
          <w:trHeight w:val="25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33,834</w:t>
            </w:r>
          </w:p>
        </w:tc>
      </w:tr>
      <w:tr>
        <w:trPr>
          <w:trHeight w:val="27"/>
        </w:trPr>
        <w:tc>
          <w:tcPr>
            <w:tcW w:w="24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245,576</w:t>
            </w:r>
          </w:p>
        </w:tc>
      </w:tr>
      <w:tr>
        <w:trPr>
          <w:trHeight w:val="20"/>
        </w:trPr>
        <w:tc>
          <w:tcPr>
            <w:tcW w:w="2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8"/>
        </w:trPr>
        <w:tc>
          <w:tcPr>
            <w:tcW w:w="24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
          </w:tcPr>
          <w:p>
            <w:pPr>
              <w:jc w:val="right"/>
              <w:ind w:right="3796"/>
              <w:spacing w:after="0"/>
              <w:rPr>
                <w:sz w:val="20"/>
                <w:szCs w:val="20"/>
                <w:color w:val="auto"/>
              </w:rPr>
            </w:pPr>
            <w:r>
              <w:rPr>
                <w:rFonts w:ascii="Times New Roman" w:cs="Times New Roman" w:eastAsia="Times New Roman" w:hAnsi="Times New Roman"/>
                <w:sz w:val="18"/>
                <w:szCs w:val="18"/>
                <w:color w:val="auto"/>
              </w:rPr>
              <w:t>F-20</w:t>
            </w:r>
          </w:p>
        </w:tc>
      </w:tr>
    </w:tbl>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w:t>
        <w:tab/>
        <w:t>OTHER INCOME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75,371</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Non-refundable service fee from terminated consulting projects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50,047</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1,809</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9,792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36,539</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136,576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619" w:hanging="426"/>
        <w:spacing w:after="0" w:line="267" w:lineRule="auto"/>
        <w:tabs>
          <w:tab w:leader="none" w:pos="8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Times New Roman" w:cs="Times New Roman" w:eastAsia="Times New Roman" w:hAnsi="Times New Roman"/>
          <w:sz w:val="16"/>
          <w:szCs w:val="16"/>
          <w:color w:val="auto"/>
        </w:rPr>
      </w:pPr>
    </w:p>
    <w:p>
      <w:pPr>
        <w:ind w:left="880" w:right="779" w:hanging="426"/>
        <w:spacing w:after="0" w:line="288" w:lineRule="auto"/>
        <w:tabs>
          <w:tab w:leader="none" w:pos="8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 referral fees as other income when other consulting services providers successfully engaged by customer and paid the Group referral fee.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316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80" w:type="dxa"/>
            <w:vAlign w:val="bottom"/>
          </w:tcPr>
          <w:p>
            <w:pPr>
              <w:spacing w:after="0"/>
              <w:rPr>
                <w:sz w:val="24"/>
                <w:szCs w:val="24"/>
                <w:color w:val="auto"/>
              </w:rPr>
            </w:pPr>
          </w:p>
        </w:tc>
        <w:tc>
          <w:tcPr>
            <w:tcW w:w="3600" w:type="dxa"/>
            <w:vAlign w:val="bottom"/>
            <w:gridSpan w:val="5"/>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vMerge w:val="continue"/>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80" w:type="dxa"/>
            <w:vAlign w:val="bottom"/>
            <w:vMerge w:val="continue"/>
          </w:tcPr>
          <w:p>
            <w:pPr>
              <w:spacing w:after="0"/>
              <w:rPr>
                <w:sz w:val="19"/>
                <w:szCs w:val="19"/>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Founder, Chairman, Chief Executive Officer</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Chief Technology Officer and Director Nominee</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Trident Foodtech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Apollo Entertainment Media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30%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gridSpan w:val="3"/>
          </w:tcPr>
          <w:p>
            <w:pPr>
              <w:spacing w:after="0"/>
              <w:rPr>
                <w:sz w:val="4"/>
                <w:szCs w:val="4"/>
                <w:color w:val="auto"/>
              </w:rPr>
            </w:pPr>
          </w:p>
        </w:tc>
        <w:tc>
          <w:tcPr>
            <w:tcW w:w="206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(1)</w:t>
            </w:r>
          </w:p>
        </w:tc>
        <w:tc>
          <w:tcPr>
            <w:tcW w:w="2060" w:type="dxa"/>
            <w:vAlign w:val="bottom"/>
            <w:gridSpan w:val="2"/>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4"/>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Apollo Entertainment Media Pte. Ltd.</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87,920</w:t>
            </w:r>
          </w:p>
        </w:tc>
        <w:tc>
          <w:tcPr>
            <w:tcW w:w="380" w:type="dxa"/>
            <w:vAlign w:val="bottom"/>
          </w:tcPr>
          <w:p>
            <w:pPr>
              <w:spacing w:after="0"/>
              <w:rPr>
                <w:sz w:val="24"/>
                <w:szCs w:val="2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35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gridSpan w:val="2"/>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gridSpan w:val="3"/>
            <w:vMerge w:val="continue"/>
            <w:shd w:val="clear" w:color="auto" w:fill="CCEEFF"/>
          </w:tcPr>
          <w:p>
            <w:pPr>
              <w:spacing w:after="0"/>
              <w:rPr>
                <w:sz w:val="21"/>
                <w:szCs w:val="21"/>
                <w:color w:val="auto"/>
              </w:rPr>
            </w:pPr>
          </w:p>
        </w:tc>
        <w:tc>
          <w:tcPr>
            <w:tcW w:w="20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337,920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739" w:hanging="426"/>
        <w:spacing w:after="0" w:line="269"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the investment funds that this related party received on behalf of the Company during the pre-IPO financing.</w:t>
      </w:r>
    </w:p>
    <w:p>
      <w:pPr>
        <w:ind w:left="880" w:hanging="426"/>
        <w:spacing w:after="0"/>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service prepayments to this related party, offset by collections on behalf of this related party.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has received $250,000 due from Soon Huat Lim in March, 2024.</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6"/>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4,820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7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7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513,280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3"/>
              </w:rPr>
              <w:t>4,820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59" w:hanging="426"/>
        <w:spacing w:after="0" w:line="269"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899" w:hanging="426"/>
        <w:spacing w:after="0" w:line="288"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interest-bearing loan from this related party for the Group’s daily operation at maturity within one to six months.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transactions</w:t>
      </w:r>
    </w:p>
    <w:p>
      <w:pPr>
        <w:spacing w:after="0" w:line="19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56,056</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87,039</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56,056</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87,039</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1,456</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36,266</w:t>
            </w: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693,953</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939,578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74,471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1,489</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297,885</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660,043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819,184</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loan to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Apollo Entertainment Media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related party for tickets and hot chocolate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95,296</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Consumption of tickets and hot chocolate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8,914</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Foodtech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Rental expense paid to related party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31,278</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959" w:hanging="426"/>
        <w:spacing w:after="0" w:line="269" w:lineRule="auto"/>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received contribution from Poh Kiong Tan. The contribution was implemented to reduce the outstanding balance due to Poh Kiong Tan by $36,266.</w:t>
      </w:r>
    </w:p>
    <w:p>
      <w:pPr>
        <w:ind w:left="880" w:hanging="426"/>
        <w:spacing w:after="0"/>
        <w:tabs>
          <w:tab w:leader="none" w:pos="88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and 2022, QZT declared dividends to Soon Huat Lim.</w:t>
      </w:r>
    </w:p>
    <w:p>
      <w:pPr>
        <w:sectPr>
          <w:pgSz w:w="11900" w:h="16838" w:orient="portrait"/>
          <w:cols w:equalWidth="0" w:num="1">
            <w:col w:w="9019"/>
          </w:cols>
          <w:pgMar w:left="1440" w:top="270" w:right="1440" w:bottom="526"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26"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SUBSCRIPTION FEES ADVANCE FROM A SHAREHOLDER</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permanent equity when the Group complete its reorganization and by issuing 24,795,000 Class B Ordinary Shares on July 4, 2023.</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ORDINARY SHARES</w:t>
      </w:r>
    </w:p>
    <w:p>
      <w:pPr>
        <w:spacing w:after="0" w:line="162"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501,964,286 and 410,205,000 shares to the shareholders at par value $0.00001 per share, among which, 50,000,000 and 50,000,000 Class A ordinary shares, 451,964,286 and 360,205,000 Class B ordinary shares issued and outstanding as of December 31, 2023 and 2022, respectively. For the 410,205,000 shares issued before reorganization, the Company has retroactively restated those shares and per share data for all periods presented.</w:t>
      </w:r>
    </w:p>
    <w:p>
      <w:pPr>
        <w:spacing w:after="0" w:line="12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Company issued 45,000,000 Class B Ordinary Shares of the Company to Soon Tai Lee in exchange of $3,000,000 cash consideration and Soon Huat Lim sold his 30,000,000 Class B Ordinary Shares of the Company to Soon Tai Lee in exchange of $2,000,000 cash consideration. The Group collected the consideration on January 26, 2023.</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May 4 and May 5, 2023, the Group and Soon Huat Lim entered into a series of share sale agreement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supplemental agreements with Yat Hong Lo, a third-party investor. Pursuant to the agreements,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issued 20,000,000 Class B Ordinary Shares of the Company to Yat Hong Lo in exchange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$4,000,000 cash consideration and Soon Huat Lim sold his 5,000,000 Class B Ordinary Shares of the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Yat Hong Lo in exchange of $1,000,000 cash consideration. The Group collected all the consideration 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8, 2023.</w:t>
      </w:r>
    </w:p>
    <w:p>
      <w:pPr>
        <w:spacing w:after="0" w:line="139"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September 29, 2023, the Group entered into a share subscription agreement with Broad Fund Management Limited, a third-party investor. Pursuant to the agreement, the Company issued 892,857 Class B Ordinary Shares of the Company to Broad Fund Management Limited in exchange of $500,000 cash consideration. The Group collected all the consideration on October 6, 2023.</w:t>
      </w:r>
    </w:p>
    <w:p>
      <w:pPr>
        <w:spacing w:after="0" w:line="99"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On September 29, 2023, the Group and Soon Huat Lim entered into a share subscription and purchase agreement with Choon How Liew, Vijai Dharamdas Parwani, and Wong Yee Fune, respectively, who are third-party investors. Pursuant to the agreement, the Company issued 446,429, 357,143 and 267,857 Class B Ordinary Shares to Choon How Liew, Vijai Dharamdas Parwani, and Wong Yee Fune in exchange of $250,000, $200,000 and $150,000 cash consideration, respectively; and Soon Huat Lim sold his 446,429, 357,143 and 267,857 Class B Ordinary Shares to Choon How Liew, Vijai Dharamdas Parwani, and Wong Yee Fune in exchange of $250,000, $200,000 and $150,000 cash consideration. The Group collected all the consideration before December 21, 2023.</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 xml:space="preserve">ORDINARY SHARES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After the above transactions, Soon Tai Lee, Yat Hong Lo, Choon How Liew, Broad Fund Management Limited, Vijai Dharamdas Parwani, and Wong Yee Fune became shareholders of the Group, and Soon Huat Lim still remain as ultimate controller of the Group.</w:t>
      </w:r>
    </w:p>
    <w:p>
      <w:pPr>
        <w:spacing w:after="0" w:line="17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CONCENTRATION</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06"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60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58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5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0"/>
        </w:trPr>
        <w:tc>
          <w:tcPr>
            <w:tcW w:w="5520" w:type="dxa"/>
            <w:vAlign w:val="bottom"/>
          </w:tcPr>
          <w:p>
            <w:pPr>
              <w:spacing w:after="0"/>
              <w:rPr>
                <w:sz w:val="20"/>
                <w:szCs w:val="20"/>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4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represented 10% or more of the Group’s total purchase.</w:t>
      </w:r>
    </w:p>
    <w:p>
      <w:pPr>
        <w:spacing w:after="0" w:line="12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41275</wp:posOffset>
            </wp:positionV>
            <wp:extent cx="16370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00" w:type="dxa"/>
            <w:vAlign w:val="bottom"/>
            <w:gridSpan w:val="2"/>
          </w:tcPr>
          <w:p>
            <w:pPr>
              <w:ind w:left="59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57"/>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purchase</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40"/>
        </w:trPr>
        <w:tc>
          <w:tcPr>
            <w:tcW w:w="5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4"/>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B</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4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ectPr>
          <w:pgSz w:w="11900" w:h="16838" w:orient="portrait"/>
          <w:cols w:equalWidth="0" w:num="1">
            <w:col w:w="9019"/>
          </w:cols>
          <w:pgMar w:left="1440" w:top="270"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 xml:space="preserve">CONCENTRATION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represented 10% or more of the Group’s total accounts payable.</w:t>
      </w:r>
    </w:p>
    <w:p>
      <w:pPr>
        <w:spacing w:after="0" w:line="16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47625</wp:posOffset>
            </wp:positionV>
            <wp:extent cx="16370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00" w:type="dxa"/>
            <w:vAlign w:val="bottom"/>
            <w:gridSpan w:val="2"/>
          </w:tcPr>
          <w:p>
            <w:pPr>
              <w:ind w:left="59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57"/>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payable</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0"/>
        </w:trPr>
        <w:tc>
          <w:tcPr>
            <w:tcW w:w="5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B</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C</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22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current portion of bank loans outstanding as of December 31, 2023 and 2022 carried a weighted average interest rate of approximately 4.77% and 4.37% per annum,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CONDENSED FINANCIAL INFORMATION OF THE PARENT COMPANY</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Regulation S-X requires the condensed financial information of a registrant shall be filed when the restricted net assets of consolidated subsidiaries exceed 25 percent of consolidated net assets as of the end of the most recently completed fiscal year. For purposes of the above test, restricted net assets of consolidated-subsidiaries shall mean the amount of the registrant’s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 The condensed parent company financial statements have been prepared in accordance with Rule 12-04 Schedule of Regulation S-X as the restricted net assets of the Company’s Singapore subsidiaries exceed 25% of the consolidated net assets of the Company.</w:t>
      </w:r>
    </w:p>
    <w:p>
      <w:pPr>
        <w:spacing w:after="0" w:line="121"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consolidated subsidiary in accordance with U.S. Securities and Exchange Commission Regulation S-X Rule 4-08 (e) (3), “General Notes to Financial Statements” and concluded that it was applicable for the Company to disclose the financial statements for the parent company.</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condensed financial information of the parent company, has been prepared using the same accounting policies as set out in Company’s consolidated financial statements except that the parent company has used the equity method to account for its investment in its subsidiaries.</w:t>
      </w:r>
    </w:p>
    <w:p>
      <w:pPr>
        <w:spacing w:after="0" w:line="10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Company’s share of income and losses from its subsidiaries is reported as incomes from subsidiaries in the accompanying condensed financial information of parent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 xml:space="preserve">CONDENSED FINANCIAL INFORMATION OF THE PARENT COMPANY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Condensed balance sheets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2,432,650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Investment deficit in subsidiaries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1,324,787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 ordinary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 2022,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451,964,286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8,426,684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32,240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(6,183,545)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184,491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operations and comprehensive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subsidiaries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(4,774,087)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loss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(4,774,087)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222,279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cash flows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Parent company, had no cash activities for the years ended December 31, 2023 and 2022,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85"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60" w:right="1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 After this transaction, Mr. Soon Huat Lim still remains as ultimate controller of the Group.</w:t>
      </w:r>
    </w:p>
    <w:p>
      <w:pPr>
        <w:spacing w:after="0" w:line="124"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On February 2, 2024, Trident Group Holdings Ltd, a company limited by shares incorporated in British Virgin Islands and wholly owned by Mr. Soon Huat Lim, the chairman of board of directors and chief executive officer of the Company, transferred 24,094,286 and 24,094,286 Class B Ordinary Shares to Liew Choon How and Wong Yee Fune, respectively, which is deemed as share transfer between the shareholders of the Group. After this transaction, Mr. Soon Huat Lim still remains as ultimate controller of the Group.</w:t>
      </w:r>
    </w:p>
    <w:p>
      <w:pPr>
        <w:spacing w:after="0" w:line="116"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March 24, 2023, the Group entered into a loan agreement with Mr. Soon Huat Lim, in which a loan with an amount up to $742,818 (SGD980,000) with the repayment date of March 23, 2026 is provided to the Group in order to support the Group’s sustainable operations and alleviate its liquidity pressure. As of April 16, 2024, Group has received $742,818 (SGD980,000) from Mr. Soon Huat Lim.</w:t>
      </w:r>
    </w:p>
    <w:p>
      <w:pPr>
        <w:spacing w:after="0" w:line="99"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except for the event mentioned above the Group did not identify any subsequent events with material financial impact on the Group’s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1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Representing 14,400,000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128905</wp:posOffset>
            </wp:positionV>
            <wp:extent cx="1440180" cy="3429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40180" cy="342900"/>
                    </a:xfrm>
                    <a:prstGeom prst="rect">
                      <a:avLst/>
                    </a:prstGeom>
                    <a:noFill/>
                  </pic:spPr>
                </pic:pic>
              </a:graphicData>
            </a:graphic>
          </wp:anchor>
        </w:drawing>
      </w:r>
    </w:p>
    <w:p>
      <w:pPr>
        <w:spacing w:after="0" w:line="23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9"/>
          <w:szCs w:val="29"/>
          <w:b w:val="1"/>
          <w:bCs w:val="1"/>
          <w:color w:val="auto"/>
        </w:rPr>
        <w:t>WallachBeth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right="53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861060</wp:posOffset>
            </wp:positionV>
            <wp:extent cx="514350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903605</wp:posOffset>
            </wp:positionV>
            <wp:extent cx="514350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1186815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D2232A"/>
        </w:rPr>
        <w:t>Dated July 9, 2024.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150495</wp:posOffset>
            </wp:positionV>
            <wp:extent cx="3943350" cy="8401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1440" w:gutter="0" w:footer="0" w:header="0"/>
        </w:sectPr>
      </w:pP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25,000,000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200" w:lineRule="exact"/>
        <w:rPr>
          <w:sz w:val="20"/>
          <w:szCs w:val="20"/>
          <w:color w:val="auto"/>
        </w:rPr>
      </w:pPr>
    </w:p>
    <w:p>
      <w:pPr>
        <w:sectPr>
          <w:pgSz w:w="11900" w:h="16838" w:orient="portrait"/>
          <w:cols w:equalWidth="0" w:num="3">
            <w:col w:w="3260" w:space="720"/>
            <w:col w:w="1360" w:space="720"/>
            <w:col w:w="2959"/>
          </w:cols>
          <w:pgMar w:left="1440" w:top="270" w:right="1440" w:bottom="1440" w:gutter="0" w:footer="0" w:header="0"/>
          <w:type w:val="continuous"/>
        </w:sectPr>
      </w:pP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This prospectus (the “Resale Prospectus”) relates to the resale of 3,125,000 American Depositary Shares (“ADSs”) representing 25,000,000 Class B ordinary shares (the “Shareholder ADSs”) by Infinite Partner International Limited (the “Selling Shareholder”). Of the 3,125,000 ADSs covered by this Resale Prospectus, 1,925,000 ADSs are subject to a lock-up agreement between the Selling Shareholder and the underwriter for the offering of the Public Offering ADSs. Concurrently, we, Trident Digital Tech Holdings Ltd, is offering 1,800,000 ADSs representing 14,400,000 Class B ordinary shares (the “Public Offering ADSs”) on a firm commitment basis pursuant to a separate public offering prospectus (the “Public Offering Prospectus”) which forms a part of the registration statement of which this prospectus also forms a part.</w:t>
      </w:r>
    </w:p>
    <w:p>
      <w:pPr>
        <w:spacing w:after="0" w:line="12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We will not receive any of the proceeds from the sale of the Shareholder ADSs by the Selling Shareholder.</w:t>
      </w:r>
    </w:p>
    <w:p>
      <w:pPr>
        <w:spacing w:after="0" w:line="121" w:lineRule="exact"/>
        <w:rPr>
          <w:sz w:val="20"/>
          <w:szCs w:val="20"/>
          <w:color w:val="auto"/>
        </w:rPr>
      </w:pPr>
    </w:p>
    <w:p>
      <w:pPr>
        <w:ind w:left="460" w:right="759" w:firstLine="432"/>
        <w:spacing w:after="0" w:line="312" w:lineRule="auto"/>
        <w:rPr>
          <w:sz w:val="20"/>
          <w:szCs w:val="20"/>
          <w:color w:val="auto"/>
        </w:rPr>
      </w:pPr>
      <w:r>
        <w:rPr>
          <w:rFonts w:ascii="Times New Roman" w:cs="Times New Roman" w:eastAsia="Times New Roman" w:hAnsi="Times New Roman"/>
          <w:sz w:val="17"/>
          <w:szCs w:val="17"/>
          <w:color w:val="auto"/>
        </w:rPr>
        <w:t>We have submitted an application to list the ADSs on the Nasdaq Capital Market under the symbol “TDTH.” We cannot guarantee that we will be successful in listing our ADSs on the Nasdaq Capital Market.</w:t>
      </w:r>
    </w:p>
    <w:p>
      <w:pPr>
        <w:spacing w:after="0" w:line="59"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Following the completion of this offering of the Shareholder ADSs by the Selling Shareholder and the offering of the Public Offering ADSs, our issued and outstanding share capital will consist of 50,000,000 Class A ordinary shares and 466,364,286 Class B ordinary shares, assuming no exercise of the underwriter’s over-allotment option in the offering of the Public Offering ADSs. Mr. Soon Huat Lim will beneficially own all of our issued Class A ordinary shares and will be able to exercise 92.4% of the total voting power of our issued and outstanding share capital immediately following the completion of this offering, assuming no exercise of the underwriter’s over-allotment option in the offering of the Public Offering ADSs.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257175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54" w:lineRule="auto"/>
        <w:rPr>
          <w:sz w:val="20"/>
          <w:szCs w:val="20"/>
          <w:color w:val="auto"/>
        </w:rPr>
      </w:pPr>
      <w:r>
        <w:rPr>
          <w:rFonts w:ascii="Times New Roman" w:cs="Times New Roman" w:eastAsia="Times New Roman" w:hAnsi="Times New Roman"/>
          <w:sz w:val="18"/>
          <w:szCs w:val="18"/>
          <w:color w:val="auto"/>
        </w:rPr>
        <w:t>ordinary shares by a holder thereof to any person who is not an affiliate of Mr. Soon Huat Lim, such Class A ordinary shares will be automatically and immediately converted into the same number of Class B ordinary share. See “Description of Share Capital” of the Public Offering Prospectus. Immediately following the completion of this offering of the Shareholder ADSs by the Selling Shareholder and the offering of the Public Offering ADSs,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 of the Public Offering Prospectus.</w:t>
      </w:r>
    </w:p>
    <w:p>
      <w:pPr>
        <w:spacing w:after="0" w:line="121"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90" w:lineRule="exact"/>
        <w:rPr>
          <w:sz w:val="20"/>
          <w:szCs w:val="20"/>
          <w:color w:val="auto"/>
        </w:rPr>
      </w:pPr>
    </w:p>
    <w:p>
      <w:pPr>
        <w:jc w:val="both"/>
        <w:ind w:left="460" w:right="5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Prospectus dated</w:t>
            </w:r>
          </w:p>
        </w:tc>
        <w:tc>
          <w:tcPr>
            <w:tcW w:w="36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2024</w:t>
            </w:r>
          </w:p>
        </w:tc>
      </w:tr>
      <w:tr>
        <w:trPr>
          <w:trHeight w:val="405"/>
        </w:trPr>
        <w:tc>
          <w:tcPr>
            <w:tcW w:w="4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2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Neither we nor the Selling Shareholder have authorized anyone to provide you with any information or to make any representations other than as contained in this prospectus or in any related free writing prospectuses. Neither we nor the Selling Shareholder take any responsibility for, and provide no assurance about the reliability of, any information that others may give you. This prospectus is an offer to sell only the securities offered hereby, but only under circumstances and in jurisdictions where it is lawful to do so. The information contained in this prospectus is accurate only as of the date of this prospectus, regardless of the time of delivery of this prospectus or any sale of the securities. Our business, financial condition, results of operations and prospects may have changed since that date.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No action is being taken in any jurisdiction outside the U.S. to permit a public offering of our securities or possession or distribution of this prospectus in any such jurisdiction. Persons who come into possession of this prospectus in jurisdictions outside the U.S. are required to inform themselves about and to observe any restrictions about this offering and the distribution of this prospectus applicable to those jurisdictions.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4607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7310" cy="46075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ADSs offered by the Selling Shareholder</w:t>
      </w:r>
    </w:p>
    <w:p>
      <w:pPr>
        <w:spacing w:after="0" w:line="200" w:lineRule="exact"/>
        <w:rPr>
          <w:sz w:val="20"/>
          <w:szCs w:val="20"/>
          <w:color w:val="auto"/>
        </w:rPr>
      </w:pPr>
    </w:p>
    <w:p>
      <w:pPr>
        <w:spacing w:after="0" w:line="201" w:lineRule="exact"/>
        <w:rPr>
          <w:sz w:val="20"/>
          <w:szCs w:val="20"/>
          <w:color w:val="auto"/>
        </w:rPr>
      </w:pPr>
    </w:p>
    <w:p>
      <w:pPr>
        <w:ind w:left="720" w:right="6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Ordinary Shares outstanding before the offering</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76" w:lineRule="exact"/>
        <w:rPr>
          <w:sz w:val="20"/>
          <w:szCs w:val="20"/>
          <w:color w:val="auto"/>
        </w:rPr>
      </w:pPr>
    </w:p>
    <w:p>
      <w:pPr>
        <w:ind w:left="720" w:right="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Ordinary Shares to be outstanding after our offering of the Public Offering ADSs:</w:t>
      </w:r>
    </w:p>
    <w:p>
      <w:pPr>
        <w:spacing w:after="0" w:line="360" w:lineRule="exact"/>
        <w:rPr>
          <w:sz w:val="20"/>
          <w:szCs w:val="20"/>
          <w:color w:val="auto"/>
        </w:rPr>
      </w:pPr>
    </w:p>
    <w:p>
      <w:pPr>
        <w:ind w:left="72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ADSs outstanding immediately after this offering</w:t>
      </w:r>
      <w:r>
        <w:rPr>
          <w:rFonts w:ascii="Times New Roman" w:cs="Times New Roman" w:eastAsia="Times New Roman" w:hAnsi="Times New Roman"/>
          <w:sz w:val="20"/>
          <w:szCs w:val="20"/>
          <w:b w:val="1"/>
          <w:bCs w:val="1"/>
          <w:color w:val="auto"/>
          <w:vertAlign w:val="superscript"/>
        </w:rPr>
        <w:t>(2)</w:t>
      </w:r>
    </w:p>
    <w:p>
      <w:pPr>
        <w:spacing w:after="0" w:line="200" w:lineRule="exact"/>
        <w:rPr>
          <w:sz w:val="20"/>
          <w:szCs w:val="20"/>
          <w:color w:val="auto"/>
        </w:rPr>
      </w:pPr>
    </w:p>
    <w:p>
      <w:pPr>
        <w:spacing w:after="0" w:line="292" w:lineRule="exact"/>
        <w:rPr>
          <w:sz w:val="20"/>
          <w:szCs w:val="20"/>
          <w:color w:val="auto"/>
        </w:rPr>
      </w:pPr>
    </w:p>
    <w:p>
      <w:pPr>
        <w:ind w:left="720" w:right="60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999"/>
        <w:spacing w:after="0" w:line="282" w:lineRule="auto"/>
        <w:rPr>
          <w:sz w:val="20"/>
          <w:szCs w:val="20"/>
          <w:color w:val="auto"/>
        </w:rPr>
      </w:pPr>
      <w:r>
        <w:rPr>
          <w:rFonts w:ascii="Times New Roman" w:cs="Times New Roman" w:eastAsia="Times New Roman" w:hAnsi="Times New Roman"/>
          <w:sz w:val="18"/>
          <w:szCs w:val="18"/>
          <w:color w:val="auto"/>
        </w:rPr>
        <w:t>3,125,000 ADSs representing 25,000,000 Class B ordinary shares.</w:t>
      </w:r>
    </w:p>
    <w:p>
      <w:pPr>
        <w:spacing w:after="0" w:line="337"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451,964,286 Class B ordinary shares.</w:t>
      </w:r>
    </w:p>
    <w:p>
      <w:pPr>
        <w:spacing w:after="0" w:line="351" w:lineRule="exact"/>
        <w:rPr>
          <w:sz w:val="20"/>
          <w:szCs w:val="20"/>
          <w:color w:val="auto"/>
        </w:rPr>
      </w:pPr>
    </w:p>
    <w:p>
      <w:pPr>
        <w:ind w:right="599"/>
        <w:spacing w:after="0" w:line="266"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 assuming no exercise of the underwriter’s over-allotment option in the offering of the Public Offering ADSs.</w:t>
      </w:r>
    </w:p>
    <w:p>
      <w:pPr>
        <w:spacing w:after="0" w:line="365" w:lineRule="exact"/>
        <w:rPr>
          <w:sz w:val="20"/>
          <w:szCs w:val="20"/>
          <w:color w:val="auto"/>
        </w:rPr>
      </w:pPr>
    </w:p>
    <w:p>
      <w:pPr>
        <w:ind w:right="579"/>
        <w:spacing w:after="0" w:line="266" w:lineRule="auto"/>
        <w:rPr>
          <w:sz w:val="20"/>
          <w:szCs w:val="20"/>
          <w:color w:val="auto"/>
        </w:rPr>
      </w:pPr>
      <w:r>
        <w:rPr>
          <w:rFonts w:ascii="Times New Roman" w:cs="Times New Roman" w:eastAsia="Times New Roman" w:hAnsi="Times New Roman"/>
          <w:sz w:val="18"/>
          <w:szCs w:val="18"/>
          <w:color w:val="auto"/>
        </w:rPr>
        <w:t>4,925,000 ADSs representing 39,400,000 Class B ordinary shares, assuming no exercise of the underwriter’s over-allotment option in the offering of the Public Offering ADSs.</w:t>
      </w:r>
    </w:p>
    <w:p>
      <w:pPr>
        <w:spacing w:after="0" w:line="365" w:lineRule="exact"/>
        <w:rPr>
          <w:sz w:val="20"/>
          <w:szCs w:val="20"/>
          <w:color w:val="auto"/>
        </w:rPr>
      </w:pPr>
    </w:p>
    <w:p>
      <w:pPr>
        <w:ind w:right="599"/>
        <w:spacing w:after="0" w:line="266"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 assuming no exercise of the underwriter’s over-allotment option in the offering of the Public Offering ADSs.</w:t>
      </w:r>
    </w:p>
    <w:p>
      <w:pPr>
        <w:spacing w:after="0" w:line="145" w:lineRule="exact"/>
        <w:rPr>
          <w:sz w:val="20"/>
          <w:szCs w:val="20"/>
          <w:color w:val="auto"/>
        </w:rPr>
      </w:pPr>
    </w:p>
    <w:p>
      <w:pPr>
        <w:sectPr>
          <w:pgSz w:w="11900" w:h="16838" w:orient="portrait"/>
          <w:cols w:equalWidth="0" w:num="2">
            <w:col w:w="3660" w:space="120"/>
            <w:col w:w="5239"/>
          </w:cols>
          <w:pgMar w:left="1440" w:top="270" w:right="1440" w:bottom="1440" w:gutter="0" w:footer="0" w:header="0"/>
          <w:type w:val="continuous"/>
        </w:sect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of the proceeds from the sale of the</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ADSs by the Selling Shareholder named in this prospectus.</w:t>
      </w:r>
    </w:p>
    <w:p>
      <w:pPr>
        <w:spacing w:after="0" w:line="1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1019" w:hanging="436"/>
        <w:spacing w:after="0" w:line="269" w:lineRule="auto"/>
        <w:tabs>
          <w:tab w:leader="none" w:pos="9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ordinary shares to be outstanding immediately prior to this offering does not include up to an aggregate of 14,400,000 Class B ordinary shares to be offered by us under the Public Offering Prospectus.</w:t>
      </w:r>
    </w:p>
    <w:p>
      <w:pPr>
        <w:ind w:left="980" w:right="719" w:hanging="436"/>
        <w:spacing w:after="0" w:line="288" w:lineRule="auto"/>
        <w:tabs>
          <w:tab w:leader="none" w:pos="9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up to an aggregate of 1,800,000 ADSs to be sold by Trident Digital Tech Holdings Ltd, pursuant to the Public Offering Prospectus.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 In addition, the underwriter will not receive any compensation from the sale of the ADSs by the Selling Shareholder. The Selling Shareholder will receive all of the net proceeds from the sales of Shareholder ADSs under this prospectus. However, we will incur expenses in connection with the registration of the ADSs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the Selling Shareholder, namely,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the Selling Shareholder.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27"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 of the Selling Shareholder, the number of Class B ordinary shares owned by the Selling Shareholder immediately prior to the date of this prospectus and the number of ADSs to be offered by the Selling Shareholder pursuant to the Resale Prospectus. The table also provides information regarding the beneficial ownership of our Class B ordinary shares by the Selling Shareholder as adjusted to reflect the assumed sale of all of the ADSs offered under the Public Offering Prospectus and the Resale Prospectus.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has not had any position, office or other material relationship within past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three years with the Company. The Selling Shareholder is not a broker-dealer or an affiliate of a broker-dealer.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ADSs to be offered by the Selling Shareholder, they do not have an agreement or understanding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distribute any of the ADSs being registered. The Selling Shareholder may offer for sale from time to time any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ADSs. The table below assumes that the Selling Shareholder will sell all of the ADSs offered for sale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the Resale Prospectus.</w:t>
      </w:r>
    </w:p>
    <w:p>
      <w:pPr>
        <w:spacing w:after="0" w:line="139"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requires that such person have voting or investment power with respect to securities. In computing the number of Class B ordinary shares beneficially owned by a person listed below and the percentage ownership of such person, Class B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120" w:lineRule="exact"/>
        <w:rPr>
          <w:sz w:val="20"/>
          <w:szCs w:val="20"/>
          <w:color w:val="auto"/>
        </w:rPr>
      </w:pPr>
    </w:p>
    <w:p>
      <w:pPr>
        <w:jc w:val="both"/>
        <w:ind w:left="460" w:right="1119" w:firstLine="432"/>
        <w:spacing w:after="0" w:line="261" w:lineRule="auto"/>
        <w:rPr>
          <w:sz w:val="20"/>
          <w:szCs w:val="20"/>
          <w:color w:val="auto"/>
        </w:rPr>
      </w:pPr>
      <w:r>
        <w:rPr>
          <w:rFonts w:ascii="Times New Roman" w:cs="Times New Roman" w:eastAsia="Times New Roman" w:hAnsi="Times New Roman"/>
          <w:sz w:val="18"/>
          <w:szCs w:val="18"/>
          <w:color w:val="auto"/>
        </w:rPr>
        <w:t>The Company may require the Selling Shareholder to suspend the sales of ADSs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ADSs to</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55"/>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Shareholder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 Sold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r>
      <w:tr>
        <w:trPr>
          <w:trHeight w:val="195"/>
        </w:trPr>
        <w:tc>
          <w:tcPr>
            <w:tcW w:w="21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INFINITE PARTNER</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75"/>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0"/>
                <w:szCs w:val="20"/>
                <w:color w:val="auto"/>
                <w:vertAlign w:val="superscript"/>
              </w:rPr>
              <w:t>(2)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3,125,000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80" w:right="699" w:hanging="426"/>
        <w:spacing w:after="0" w:line="264" w:lineRule="auto"/>
        <w:tabs>
          <w:tab w:leader="none" w:pos="8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computed with reference to 501,964,286 ordinary shares outstanding as of the date of this prospectus and assumes for the Selling Shareholder the sale of all shares offered by the Selling Shareholder under this prospectus.</w:t>
      </w:r>
    </w:p>
    <w:p>
      <w:pPr>
        <w:jc w:val="both"/>
        <w:ind w:left="880" w:right="559" w:hanging="426"/>
        <w:spacing w:after="0" w:line="276" w:lineRule="auto"/>
        <w:tabs>
          <w:tab w:leader="none" w:pos="8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held by Infinite Partner International Limited, a company limited by shares incorporated in British Virgin Islands and wholly owned by Sai Ho Cheung. The registered address of Infinite Partner International Limited is OMC Chambers, Wickhams Cay 1, Road Town, Tortola, British Virgin Islands.</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ADSs representing the Class B ordinary shares listed in the table appearing under “Selling Shareholder”, or the Shareholder ADSs, are being registered to permit the resale of Shareholder ADSs by the Selling Shareholder and its pledgees, donees, assignees and successors-in-interest from time to time after the date of this prospectus.</w:t>
      </w:r>
    </w:p>
    <w:p>
      <w:pPr>
        <w:spacing w:after="0" w:line="11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in any manner permitted by the Securities Act, including any one or more of the manners described below. We will not receive any of the proceeds from the sale of the Shareholder ADSs.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may use any one or more of the following methods when disposing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 ADSs:</w:t>
      </w:r>
    </w:p>
    <w:p>
      <w:pPr>
        <w:spacing w:after="0" w:line="126" w:lineRule="exact"/>
        <w:rPr>
          <w:sz w:val="20"/>
          <w:szCs w:val="20"/>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ADSs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resales by the broker-dealer for its account;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short sales made after the date that the registration statement of which this prospectus is a part is declared effective by the SEC;</w:t>
      </w:r>
    </w:p>
    <w:p>
      <w:pPr>
        <w:spacing w:after="0" w:line="80"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 to sell a specified number of such ADSs at a stipulated price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these methods of sale;</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effecting sales, brokers-dealers engaged by the Selling Shareholder may arrange for other brokers-dealers to participate. If the Selling Shareholder effects such transactions by selling the Shareholder ADSs to or through broker-dealers or agents, such broker-dealers or agents may receive commissions in the form of discounts, concessions or commissions from the Selling Shareholder or commissions from purchasers of the Shareholder ADSs for whom they may act as agent or to whom they may sell as principal. If sales of ADSs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Selling Shareholder and any brokers, dealers or agents that participate in such distribution may be deemed to be “underwriters” within the meaning of the Securities Act, and any discounts, commissions or concessions received by any brokers, dealers or agents might be deemed to be underwriting discounts and commissions under the Securities Act. Any broker-dealers or agents that are deemed to be underwriters may not sell ADSs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 The Selling Shareholder if deemed to be an “underwriter” within the meaning of the Securities Act will be subject to the prospectus delivery requirements of the Securities Act and the provisions of the Exchange Act and the rules thereunder relating to stock manipulation.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the Shareholder ADSs sold in those jurisdictions may only be sold through registered or licensed brokers or dealers. In addition, in some states, the Shareholder ADSs may not be sold unless the Shareholder ADSs have been registered or qualified for sale in that state or an exemption from registration or qualification is available and is complied with.</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any of the ADSs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the Selling Shareholder will sell all or any portion of the shares offered under this prospectus.</w:t>
      </w:r>
    </w:p>
    <w:p>
      <w:pPr>
        <w:spacing w:after="0" w:line="11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have agreed to pay expenses we incur incident to the registration of the ADSs being offered under this prospectus. However, the Selling Shareholder and any purchaser are responsible for paying any discounts, commissions, and similar selling expenses they might incur.</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Selling Shareholder may also sell securities in offshore transactions or in open market transactions under Rule 144 or any other exemption from registration under the Securities Act, if available, rather than under this prospectus, provided that it meets the criteria and conforms to the requirements of those provisions.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162"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Selling Shareholder has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Relevant Resale Shares, our ordinary shares or securities convertible into or exchangeable or exercisable for any Relevant Resale Shares, or enter into any swap or other arrangement that transfers to another, in whole or in part, any of the economic consequences of ownership of any Relevant Resale Shares, our ordinary shares or securities convertible into or exercisable or exchangeable for any Relevant Resale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Relevant Resale Shares, our ordinary shares or securities convertible into or exercisable or exchangeable for any Relevant Resale Shares, or publicly disclose the intention to do any of the foregoing, without the prior written consent of the underwriter for the offering of the Public Offering ADSs for a period of 180 days after the date of the registration statement of which this prospectus forms a part, subject to certain exceptions and applicable notice requirements.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State law. The validity of the ordinary shares represented by the ADSs offered in this offering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other legal matters as to Cayman Islands law will be passed upon for us by Maples and Calder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(Hong Kong) LLP. Resource Law LLC (in alliance with Reed Smith) will pass upon certain legal matters as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law for us. Hogan Lovells may rely upon Maples and Calder (Hong Kong) LLP with respect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matters governed by Cayman Islands law and Resource Law LLC (in alliance with Reed Smith) with respect to</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matters governed by the Singapore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Representing 25,000,000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right="65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869315</wp:posOffset>
            </wp:positionV>
            <wp:extent cx="514350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912495</wp:posOffset>
            </wp:positionV>
            <wp:extent cx="514350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1186815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2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0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to be filed as Exhibit 1.1 to this registration statement will also provide indemnification for us and our officers and directors for certain liabilities.</w:t>
      </w:r>
    </w:p>
    <w:p>
      <w:pPr>
        <w:spacing w:after="0" w:line="81"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Securities/Purchaser</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Sertus Nominees (Cayman) Limited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49,999,999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499.99999</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 Wealth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125,705,000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Yat Hong Lo</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Stone Wealth Compound Fund SPC</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24,795,000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 Plus Investment Consulting Company Pte.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24,500,000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Shisong Mai</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Verse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Choon How Liew</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446,429</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Vijai Dharamdas Parwani</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 Yeun Ching@Kelly Tan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267,857</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 Fund Management Limited</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1"/>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48" w:lineRule="exact"/>
        <w:rPr>
          <w:sz w:val="20"/>
          <w:szCs w:val="20"/>
          <w:color w:val="auto"/>
        </w:rPr>
      </w:pPr>
    </w:p>
    <w:p>
      <w:pPr>
        <w:ind w:left="1320" w:hanging="434"/>
        <w:spacing w:after="0"/>
        <w:tabs>
          <w:tab w:leader="none" w:pos="1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Exhibit Index beginning on page II-5 of this registration statement.</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11" w:lineRule="exact"/>
        <w:rPr>
          <w:sz w:val="20"/>
          <w:szCs w:val="20"/>
          <w:color w:val="auto"/>
        </w:rPr>
      </w:pPr>
    </w:p>
    <w:p>
      <w:pPr>
        <w:ind w:left="460" w:right="739" w:firstLine="432"/>
        <w:spacing w:after="0" w:line="289" w:lineRule="auto"/>
        <w:rPr>
          <w:sz w:val="20"/>
          <w:szCs w:val="20"/>
          <w:color w:val="auto"/>
        </w:rPr>
      </w:pPr>
      <w:r>
        <w:rPr>
          <w:rFonts w:ascii="Times New Roman" w:cs="Times New Roman" w:eastAsia="Times New Roman" w:hAnsi="Times New Roman"/>
          <w:sz w:val="17"/>
          <w:szCs w:val="17"/>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9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5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and the related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48" w:lineRule="exact"/>
        <w:rPr>
          <w:sz w:val="20"/>
          <w:szCs w:val="20"/>
          <w:color w:val="auto"/>
        </w:rPr>
      </w:pPr>
    </w:p>
    <w:p>
      <w:pPr>
        <w:ind w:left="1320" w:hanging="434"/>
        <w:spacing w:after="0"/>
        <w:tabs>
          <w:tab w:leader="none" w:pos="1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760" w:right="519" w:hanging="442"/>
        <w:spacing w:after="0" w:line="282" w:lineRule="auto"/>
        <w:tabs>
          <w:tab w:leader="none" w:pos="171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ind w:left="2180" w:right="679" w:hanging="430"/>
        <w:spacing w:after="0" w:line="261" w:lineRule="auto"/>
        <w:tabs>
          <w:tab w:leader="none" w:pos="2143"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that, individually or in the aggregate, represent a fundamental change in the information in the registration statement.</w:t>
      </w:r>
    </w:p>
    <w:p>
      <w:pPr>
        <w:spacing w:after="0" w:line="112" w:lineRule="exact"/>
        <w:rPr>
          <w:sz w:val="20"/>
          <w:szCs w:val="20"/>
          <w:color w:val="auto"/>
        </w:rPr>
      </w:pPr>
    </w:p>
    <w:p>
      <w:pPr>
        <w:ind w:left="2180" w:right="459"/>
        <w:spacing w:after="0" w:line="255"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1" w:lineRule="exact"/>
        <w:rPr>
          <w:sz w:val="20"/>
          <w:szCs w:val="20"/>
          <w:color w:val="auto"/>
        </w:rPr>
      </w:pPr>
    </w:p>
    <w:p>
      <w:pPr>
        <w:ind w:left="2180" w:right="1059" w:hanging="430"/>
        <w:spacing w:after="0" w:line="266" w:lineRule="auto"/>
        <w:tabs>
          <w:tab w:leader="none" w:pos="215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color w:val="auto"/>
        </w:rPr>
      </w:pPr>
    </w:p>
    <w:p>
      <w:pPr>
        <w:ind w:left="1760" w:right="499" w:hanging="442"/>
        <w:spacing w:after="0" w:line="261" w:lineRule="auto"/>
        <w:tabs>
          <w:tab w:leader="none" w:pos="17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760" w:right="839" w:hanging="442"/>
        <w:spacing w:after="0" w:line="282" w:lineRule="auto"/>
        <w:tabs>
          <w:tab w:leader="none" w:pos="17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that remain unsold at the termination of the offering.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right="479" w:hanging="442"/>
        <w:spacing w:after="0" w:line="253" w:lineRule="auto"/>
        <w:tabs>
          <w:tab w:leader="none" w:pos="171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if such financial statements and information are contained in periodic reports filed with or furnished to the SEC by the registrant pursuant to Section 13 or Section 15(d) of the Exchange Act that are incorporated by reference in the Form F-3.</w:t>
      </w:r>
    </w:p>
    <w:p>
      <w:pPr>
        <w:spacing w:after="0" w:line="122"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7"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44" w:lineRule="exact"/>
        <w:rPr>
          <w:rFonts w:ascii="Times New Roman" w:cs="Times New Roman" w:eastAsia="Times New Roman" w:hAnsi="Times New Roman"/>
          <w:sz w:val="18"/>
          <w:szCs w:val="18"/>
          <w:color w:val="auto"/>
        </w:rPr>
      </w:pPr>
    </w:p>
    <w:p>
      <w:pPr>
        <w:ind w:left="2620" w:right="479" w:hanging="438"/>
        <w:spacing w:after="0" w:line="266" w:lineRule="auto"/>
        <w:tabs>
          <w:tab w:leader="none" w:pos="2613"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620" w:right="559" w:hanging="438"/>
        <w:spacing w:after="0" w:line="267" w:lineRule="auto"/>
        <w:tabs>
          <w:tab w:leader="none" w:pos="2603" w:val="left"/>
        </w:tabs>
        <w:numPr>
          <w:ilvl w:val="2"/>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20" w:lineRule="exact"/>
        <w:rPr>
          <w:rFonts w:ascii="Times New Roman" w:cs="Times New Roman" w:eastAsia="Times New Roman" w:hAnsi="Times New Roman"/>
          <w:sz w:val="17"/>
          <w:szCs w:val="17"/>
          <w:color w:val="auto"/>
        </w:rPr>
      </w:pPr>
    </w:p>
    <w:p>
      <w:pPr>
        <w:ind w:left="2180" w:right="479" w:hanging="430"/>
        <w:spacing w:after="0" w:line="269" w:lineRule="auto"/>
        <w:tabs>
          <w:tab w:leader="none" w:pos="2143"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right="499" w:hanging="442"/>
        <w:spacing w:after="0" w:line="255" w:lineRule="auto"/>
        <w:tabs>
          <w:tab w:leader="none" w:pos="1713"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699" w:hanging="430"/>
        <w:spacing w:after="0" w:line="282" w:lineRule="auto"/>
        <w:tabs>
          <w:tab w:leader="none" w:pos="2147"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919" w:hanging="430"/>
        <w:spacing w:after="0" w:line="282" w:lineRule="auto"/>
        <w:tabs>
          <w:tab w:leader="none" w:pos="2143"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ind w:left="2180" w:right="539" w:hanging="430"/>
        <w:spacing w:after="0" w:line="266" w:lineRule="auto"/>
        <w:tabs>
          <w:tab w:leader="none" w:pos="2153"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979" w:hanging="430"/>
        <w:spacing w:after="0" w:line="282" w:lineRule="auto"/>
        <w:tabs>
          <w:tab w:leader="none" w:pos="2143"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27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ind w:left="1760" w:right="539" w:hanging="442"/>
        <w:spacing w:after="0" w:line="258" w:lineRule="auto"/>
        <w:tabs>
          <w:tab w:leader="none" w:pos="171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ind w:left="1760" w:right="679" w:hanging="442"/>
        <w:spacing w:after="0" w:line="261" w:lineRule="auto"/>
        <w:tabs>
          <w:tab w:leader="none" w:pos="1713"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0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Documents</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-136525</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2">
        <w:r>
          <w:rPr>
            <w:rFonts w:ascii="Times New Roman" w:cs="Times New Roman" w:eastAsia="Times New Roman" w:hAnsi="Times New Roman"/>
            <w:sz w:val="18"/>
            <w:szCs w:val="18"/>
            <w:u w:val="single" w:color="auto"/>
            <w:color w:val="0000EE"/>
          </w:rPr>
          <w:t>Memorandum and Articles of Association of the Registrant, as currently in effect</w:t>
        </w:r>
      </w:hyperlink>
    </w:p>
    <w:p>
      <w:pPr>
        <w:spacing w:after="0" w:line="50" w:lineRule="exact"/>
        <w:rPr>
          <w:sz w:val="20"/>
          <w:szCs w:val="20"/>
          <w:color w:val="auto"/>
        </w:rPr>
      </w:pPr>
    </w:p>
    <w:p>
      <w:pPr>
        <w:ind w:right="799"/>
        <w:spacing w:after="0" w:line="273" w:lineRule="auto"/>
        <w:rPr>
          <w:rFonts w:ascii="Times New Roman" w:cs="Times New Roman" w:eastAsia="Times New Roman" w:hAnsi="Times New Roman"/>
          <w:sz w:val="18"/>
          <w:szCs w:val="18"/>
          <w:u w:val="single" w:color="auto"/>
          <w:color w:val="0000EE"/>
        </w:rPr>
      </w:pPr>
      <w:hyperlink r:id="rId223">
        <w:r>
          <w:rPr>
            <w:rFonts w:ascii="Times New Roman" w:cs="Times New Roman" w:eastAsia="Times New Roman" w:hAnsi="Times New Roman"/>
            <w:sz w:val="18"/>
            <w:szCs w:val="18"/>
            <w:u w:val="single" w:color="auto"/>
            <w:color w:val="0000EE"/>
          </w:rPr>
          <w:t>Form of Amended and Restated Memorandum and Articles of Association of the Registrant, as</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effective immediately prior to the completion of this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4.3**</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5.1**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5">
        <w:r>
          <w:rPr>
            <w:rFonts w:ascii="Times New Roman" w:cs="Times New Roman" w:eastAsia="Times New Roman" w:hAnsi="Times New Roman"/>
            <w:sz w:val="18"/>
            <w:szCs w:val="18"/>
            <w:u w:val="single" w:color="auto"/>
            <w:color w:val="0000EE"/>
          </w:rPr>
          <w:t>Form of Registrant’s Specimen American Depositary Receipt (included in Exhibit 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7">
        <w:r>
          <w:rPr>
            <w:rFonts w:ascii="Times New Roman" w:cs="Times New Roman" w:eastAsia="Times New Roman" w:hAnsi="Times New Roman"/>
            <w:sz w:val="18"/>
            <w:szCs w:val="18"/>
            <w:u w:val="single" w:color="auto"/>
            <w:color w:val="0000EE"/>
          </w:rPr>
          <w:t>Registrant’s Specimen Certificate for Class B ordinary shares</w:t>
        </w:r>
      </w:hyperlink>
    </w:p>
    <w:p>
      <w:pPr>
        <w:spacing w:after="0" w:line="50" w:lineRule="exact"/>
        <w:rPr>
          <w:sz w:val="20"/>
          <w:szCs w:val="20"/>
          <w:color w:val="auto"/>
        </w:rPr>
      </w:pPr>
    </w:p>
    <w:p>
      <w:pPr>
        <w:ind w:right="719"/>
        <w:spacing w:after="0" w:line="273" w:lineRule="auto"/>
        <w:rPr>
          <w:rFonts w:ascii="Times New Roman" w:cs="Times New Roman" w:eastAsia="Times New Roman" w:hAnsi="Times New Roman"/>
          <w:sz w:val="18"/>
          <w:szCs w:val="18"/>
          <w:u w:val="single" w:color="auto"/>
          <w:color w:val="0000EE"/>
        </w:rPr>
      </w:pPr>
      <w:hyperlink r:id="rId225">
        <w:r>
          <w:rPr>
            <w:rFonts w:ascii="Times New Roman" w:cs="Times New Roman" w:eastAsia="Times New Roman" w:hAnsi="Times New Roman"/>
            <w:sz w:val="18"/>
            <w:szCs w:val="18"/>
            <w:u w:val="single" w:color="auto"/>
            <w:color w:val="0000EE"/>
          </w:rPr>
          <w:t>Form of Deposit Agreement between the Registrant, the depositary and holders of the American</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Depositary Receipts</w:t>
        </w:r>
      </w:hyperlink>
    </w:p>
    <w:p>
      <w:pPr>
        <w:spacing w:after="0" w:line="2" w:lineRule="exact"/>
        <w:rPr>
          <w:sz w:val="20"/>
          <w:szCs w:val="20"/>
          <w:color w:val="auto"/>
        </w:rPr>
      </w:pPr>
    </w:p>
    <w:p>
      <w:pPr>
        <w:ind w:right="779"/>
        <w:spacing w:after="0" w:line="273" w:lineRule="auto"/>
        <w:rPr>
          <w:rFonts w:ascii="Times New Roman" w:cs="Times New Roman" w:eastAsia="Times New Roman" w:hAnsi="Times New Roman"/>
          <w:sz w:val="18"/>
          <w:szCs w:val="18"/>
          <w:u w:val="single" w:color="auto"/>
          <w:color w:val="0000EE"/>
        </w:rPr>
      </w:pPr>
      <w:hyperlink r:id="rId228">
        <w:r>
          <w:rPr>
            <w:rFonts w:ascii="Times New Roman" w:cs="Times New Roman" w:eastAsia="Times New Roman" w:hAnsi="Times New Roman"/>
            <w:sz w:val="18"/>
            <w:szCs w:val="18"/>
            <w:u w:val="single" w:color="auto"/>
            <w:color w:val="0000EE"/>
          </w:rPr>
          <w:t>Opinion of Maples and Calder (Hong Kong) LLP regarding the validity of the Class B ordinary</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shares being registered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839"/>
        <w:spacing w:after="0" w:line="273" w:lineRule="auto"/>
        <w:rPr>
          <w:rFonts w:ascii="Times New Roman" w:cs="Times New Roman" w:eastAsia="Times New Roman" w:hAnsi="Times New Roman"/>
          <w:sz w:val="18"/>
          <w:szCs w:val="18"/>
          <w:u w:val="single" w:color="auto"/>
          <w:color w:val="0000EE"/>
        </w:rPr>
      </w:pPr>
      <w:hyperlink r:id="rId228">
        <w:r>
          <w:rPr>
            <w:rFonts w:ascii="Times New Roman" w:cs="Times New Roman" w:eastAsia="Times New Roman" w:hAnsi="Times New Roman"/>
            <w:sz w:val="18"/>
            <w:szCs w:val="18"/>
            <w:u w:val="single" w:color="auto"/>
            <w:color w:val="0000EE"/>
          </w:rPr>
          <w:t>Opinion of Maples and Calder (Hong Kong) LLP regarding certain Cayman Island tax matters</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(included in Exhibit 5.1)</w:t>
        </w:r>
      </w:hyperlink>
    </w:p>
    <w:p>
      <w:pPr>
        <w:spacing w:after="0" w:line="2" w:lineRule="exact"/>
        <w:rPr>
          <w:sz w:val="20"/>
          <w:szCs w:val="20"/>
          <w:color w:val="auto"/>
        </w:rPr>
      </w:pPr>
    </w:p>
    <w:p>
      <w:pPr>
        <w:ind w:right="919"/>
        <w:spacing w:after="0" w:line="273" w:lineRule="auto"/>
        <w:rPr>
          <w:rFonts w:ascii="Times New Roman" w:cs="Times New Roman" w:eastAsia="Times New Roman" w:hAnsi="Times New Roman"/>
          <w:sz w:val="18"/>
          <w:szCs w:val="18"/>
          <w:u w:val="single" w:color="auto"/>
          <w:color w:val="0000EE"/>
        </w:rPr>
      </w:pPr>
      <w:hyperlink r:id="rId230">
        <w:r>
          <w:rPr>
            <w:rFonts w:ascii="Times New Roman" w:cs="Times New Roman" w:eastAsia="Times New Roman" w:hAnsi="Times New Roman"/>
            <w:sz w:val="18"/>
            <w:szCs w:val="18"/>
            <w:u w:val="single" w:color="auto"/>
            <w:color w:val="0000EE"/>
          </w:rPr>
          <w:t>Opinion of Resource Law LLC (in alliance with Reed Smith) regarding certain Singapore tax</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matters (included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180" w:type="dxa"/>
            <w:vAlign w:val="bottom"/>
            <w:gridSpan w:val="6"/>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Form of Indemnification Agreement between the Registrant and its directors and executive officers</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3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718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Form of Employment Agreement, between the Registrant and its executive officers</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3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7180" w:type="dxa"/>
            <w:vAlign w:val="bottom"/>
            <w:gridSpan w:val="6"/>
          </w:tcPr>
          <w:p>
            <w:pPr>
              <w:spacing w:after="0" w:line="202"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2023 Equity Incentive Plan</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718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Principal Subsidiaries of the Registrant</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6180" w:type="dxa"/>
            <w:vAlign w:val="bottom"/>
            <w:tcBorders>
              <w:bottom w:val="single" w:sz="8" w:color="0000EE"/>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EE"/>
                <w:w w:val="98"/>
              </w:rPr>
              <w:t>Consent of Marcum Asia CPAs LLP, Independent Registered Public Accounting Firm</w:t>
            </w:r>
          </w:p>
        </w:tc>
        <w:tc>
          <w:tcPr>
            <w:tcW w:w="1000" w:type="dxa"/>
            <w:vAlign w:val="bottom"/>
            <w:gridSpan w:val="2"/>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23.2**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8">
        <w:r>
          <w:rPr>
            <w:rFonts w:ascii="Times New Roman" w:cs="Times New Roman" w:eastAsia="Times New Roman" w:hAnsi="Times New Roman"/>
            <w:sz w:val="18"/>
            <w:szCs w:val="18"/>
            <w:u w:val="single" w:color="auto"/>
            <w:color w:val="0000EE"/>
          </w:rPr>
          <w:t>Consent of Maples and Calder (Hong Kong) LLP (included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-136525</wp:posOffset>
            </wp:positionV>
            <wp:extent cx="5143500" cy="180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30">
        <w:r>
          <w:rPr>
            <w:rFonts w:ascii="Times New Roman" w:cs="Times New Roman" w:eastAsia="Times New Roman" w:hAnsi="Times New Roman"/>
            <w:sz w:val="18"/>
            <w:szCs w:val="18"/>
            <w:u w:val="single" w:color="auto"/>
            <w:color w:val="0000EE"/>
          </w:rPr>
          <w:t>Consent of Resource Law LLC (in alliance with Reed Smith)(included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38">
        <w:r>
          <w:rPr>
            <w:rFonts w:ascii="Times New Roman" w:cs="Times New Roman" w:eastAsia="Times New Roman" w:hAnsi="Times New Roman"/>
            <w:sz w:val="18"/>
            <w:szCs w:val="18"/>
            <w:u w:val="single" w:color="auto"/>
            <w:color w:val="0000EE"/>
          </w:rPr>
          <w:t>Powers of Attorney (included on signature page)</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39">
        <w:r>
          <w:rPr>
            <w:rFonts w:ascii="Times New Roman" w:cs="Times New Roman" w:eastAsia="Times New Roman" w:hAnsi="Times New Roman"/>
            <w:sz w:val="18"/>
            <w:szCs w:val="18"/>
            <w:u w:val="single" w:color="auto"/>
            <w:color w:val="0000EE"/>
          </w:rPr>
          <w:t>Code of Business Conduct and Ethics of the Registrant</w:t>
        </w:r>
      </w:hyperlink>
    </w:p>
    <w:p>
      <w:pPr>
        <w:spacing w:after="0" w:line="50" w:lineRule="exact"/>
        <w:rPr>
          <w:sz w:val="20"/>
          <w:szCs w:val="20"/>
          <w:color w:val="auto"/>
        </w:rPr>
      </w:pPr>
    </w:p>
    <w:p>
      <w:pPr>
        <w:ind w:right="879"/>
        <w:spacing w:after="0" w:line="273" w:lineRule="auto"/>
        <w:rPr>
          <w:rFonts w:ascii="Times New Roman" w:cs="Times New Roman" w:eastAsia="Times New Roman" w:hAnsi="Times New Roman"/>
          <w:sz w:val="18"/>
          <w:szCs w:val="18"/>
          <w:u w:val="single" w:color="auto"/>
          <w:color w:val="0000EE"/>
        </w:rPr>
      </w:pPr>
      <w:hyperlink r:id="rId230">
        <w:r>
          <w:rPr>
            <w:rFonts w:ascii="Times New Roman" w:cs="Times New Roman" w:eastAsia="Times New Roman" w:hAnsi="Times New Roman"/>
            <w:sz w:val="18"/>
            <w:szCs w:val="18"/>
            <w:u w:val="single" w:color="auto"/>
            <w:color w:val="0000EE"/>
          </w:rPr>
          <w:t>Opinion of Resource Law LLC (in alliance with Reed Smith) regarding certain Singapore law</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940" w:space="44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99.3**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99.4**</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99.5**</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99.6**</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99.7**</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99.8**</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1">
        <w:r>
          <w:rPr>
            <w:rFonts w:ascii="Times New Roman" w:cs="Times New Roman" w:eastAsia="Times New Roman" w:hAnsi="Times New Roman"/>
            <w:sz w:val="18"/>
            <w:szCs w:val="18"/>
            <w:u w:val="single" w:color="auto"/>
            <w:color w:val="0000EE"/>
          </w:rPr>
          <w:t>Consent of Frost &amp; Sullivan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3">
        <w:r>
          <w:rPr>
            <w:rFonts w:ascii="Times New Roman" w:cs="Times New Roman" w:eastAsia="Times New Roman" w:hAnsi="Times New Roman"/>
            <w:sz w:val="18"/>
            <w:szCs w:val="18"/>
            <w:u w:val="single" w:color="auto"/>
            <w:color w:val="0000EE"/>
          </w:rPr>
          <w:t>Consent of Poh Kiong Tan</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4">
        <w:r>
          <w:rPr>
            <w:rFonts w:ascii="Times New Roman" w:cs="Times New Roman" w:eastAsia="Times New Roman" w:hAnsi="Times New Roman"/>
            <w:sz w:val="18"/>
            <w:szCs w:val="18"/>
            <w:u w:val="single" w:color="auto"/>
            <w:color w:val="0000EE"/>
          </w:rPr>
          <w:t>Consent of How Teck Lim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6">
        <w:r>
          <w:rPr>
            <w:rFonts w:ascii="Times New Roman" w:cs="Times New Roman" w:eastAsia="Times New Roman" w:hAnsi="Times New Roman"/>
            <w:sz w:val="18"/>
            <w:szCs w:val="18"/>
            <w:u w:val="single" w:color="auto"/>
            <w:color w:val="0000EE"/>
          </w:rPr>
          <w:t>Consent of Noi Keng Koh</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7">
        <w:r>
          <w:rPr>
            <w:rFonts w:ascii="Times New Roman" w:cs="Times New Roman" w:eastAsia="Times New Roman" w:hAnsi="Times New Roman"/>
            <w:sz w:val="18"/>
            <w:szCs w:val="18"/>
            <w:u w:val="single" w:color="auto"/>
            <w:color w:val="0000EE"/>
          </w:rPr>
          <w:t>Consent of Chwee Koh Chua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9">
        <w:r>
          <w:rPr>
            <w:rFonts w:ascii="Times New Roman" w:cs="Times New Roman" w:eastAsia="Times New Roman" w:hAnsi="Times New Roman"/>
            <w:sz w:val="18"/>
            <w:szCs w:val="18"/>
            <w:u w:val="single" w:color="auto"/>
            <w:color w:val="0000EE"/>
          </w:rPr>
          <w:t>Representation Under Item 8.A.4 of Form 20-F</w:t>
        </w:r>
      </w:hyperlink>
    </w:p>
    <w:p>
      <w:pPr>
        <w:spacing w:after="0" w:line="50" w:lineRule="exact"/>
        <w:rPr>
          <w:sz w:val="20"/>
          <w:szCs w:val="20"/>
          <w:color w:val="auto"/>
        </w:rPr>
      </w:pPr>
    </w:p>
    <w:p>
      <w:pPr>
        <w:ind w:right="819"/>
        <w:spacing w:after="0" w:line="282" w:lineRule="auto"/>
        <w:rPr>
          <w:rFonts w:ascii="Times New Roman" w:cs="Times New Roman" w:eastAsia="Times New Roman" w:hAnsi="Times New Roman"/>
          <w:sz w:val="18"/>
          <w:szCs w:val="18"/>
          <w:u w:val="single" w:color="auto"/>
          <w:color w:val="0000EE"/>
        </w:rPr>
      </w:pPr>
      <w:hyperlink r:id="rId250">
        <w:r>
          <w:rPr>
            <w:rFonts w:ascii="Times New Roman" w:cs="Times New Roman" w:eastAsia="Times New Roman" w:hAnsi="Times New Roman"/>
            <w:sz w:val="18"/>
            <w:szCs w:val="18"/>
            <w:u w:val="single" w:color="auto"/>
            <w:color w:val="0000EE"/>
          </w:rPr>
          <w:t>Share Purchase Agreement dated January 22, 2024 by and between Tri Wealth Ltd and Infinite</w:t>
        </w:r>
      </w:hyperlink>
      <w:r>
        <w:rPr>
          <w:rFonts w:ascii="Times New Roman" w:cs="Times New Roman" w:eastAsia="Times New Roman" w:hAnsi="Times New Roman"/>
          <w:sz w:val="18"/>
          <w:szCs w:val="18"/>
          <w:u w:val="single" w:color="auto"/>
          <w:color w:val="0000EE"/>
        </w:rPr>
        <w:t xml:space="preserve"> </w:t>
      </w:r>
      <w:hyperlink r:id="rId250">
        <w:r>
          <w:rPr>
            <w:rFonts w:ascii="Times New Roman" w:cs="Times New Roman" w:eastAsia="Times New Roman" w:hAnsi="Times New Roman"/>
            <w:sz w:val="18"/>
            <w:szCs w:val="18"/>
            <w:u w:val="single" w:color="auto"/>
            <w:color w:val="0000EE"/>
          </w:rPr>
          <w:t>Partner International Limited</w:t>
        </w:r>
      </w:hyperlink>
    </w:p>
    <w:p>
      <w:pPr>
        <w:spacing w:after="0" w:line="1" w:lineRule="exact"/>
        <w:rPr>
          <w:sz w:val="20"/>
          <w:szCs w:val="20"/>
          <w:color w:val="auto"/>
        </w:rPr>
      </w:pPr>
    </w:p>
    <w:p>
      <w:pPr>
        <w:sectPr>
          <w:pgSz w:w="11900" w:h="16838" w:orient="portrait"/>
          <w:cols w:equalWidth="0" w:num="2">
            <w:col w:w="940" w:space="440"/>
            <w:col w:w="76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99.10**</w:t>
            </w:r>
          </w:p>
        </w:tc>
        <w:tc>
          <w:tcPr>
            <w:tcW w:w="71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Executive Compensation Recovery Policy of the Registrant</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3120" w:type="dxa"/>
            <w:vAlign w:val="bottom"/>
            <w:tcBorders>
              <w:top w:val="single" w:sz="8" w:color="0000EE"/>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7180" w:type="dxa"/>
            <w:vAlign w:val="bottom"/>
            <w:gridSpan w:val="3"/>
          </w:tcPr>
          <w:p>
            <w:pPr>
              <w:spacing w:after="0" w:line="202"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Filing Fee Table</w:t>
              </w:r>
            </w:hyperlink>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July 9, 2024.</w:t>
      </w:r>
    </w:p>
    <w:p>
      <w:pPr>
        <w:spacing w:after="0" w:line="28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51435</wp:posOffset>
            </wp:positionV>
            <wp:extent cx="22459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25"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7"/>
        </w:trPr>
        <w:tc>
          <w:tcPr>
            <w:tcW w:w="5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9,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00" w:type="dxa"/>
            <w:vAlign w:val="bottom"/>
            <w:vMerge w:val="continue"/>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9,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6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Name: Haiyan Huang</w:t>
            </w:r>
          </w:p>
        </w:tc>
        <w:tc>
          <w:tcPr>
            <w:tcW w:w="10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Soon Huat Lim</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Attorney-in-fact</w:t>
            </w:r>
          </w:p>
        </w:tc>
        <w:tc>
          <w:tcPr>
            <w:tcW w:w="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II-6</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Trident Digital Tech Holdings Ltd, has signed this registration statement or amendment thereto in New York, United States on July 9, 2024.</w:t>
      </w:r>
    </w:p>
    <w:p>
      <w:pPr>
        <w:spacing w:after="0" w:line="2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51435</wp:posOffset>
            </wp:positionV>
            <wp:extent cx="16198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7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for and on behalf of Cogency</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Global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TRIDENT DIGITAL TECH HOLDINGS LTD</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WALLACHBETH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Harborside Financial Center Plaza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Hudson Street, Ste 1410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 City, NJ 07311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Representative of the Several Underwriters Named on Schedule I hereto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undersigned, Trident Digital Tech Holdings Ltd, an exempted company incorporated in the Cayman Islands with limited liability (collectively with its subsidiaries and affiliates, including, without limitation, all entities disclosed or described in the Registration Statement (as hereinafter defined) as being subsidiaries or affiliates of Trident Digital Tech Holdings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confirms its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with Underwriters named in Schedule 1 hereto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or each, an “</w:t>
      </w:r>
      <w:r>
        <w:rPr>
          <w:rFonts w:ascii="Times New Roman" w:cs="Times New Roman" w:eastAsia="Times New Roman" w:hAnsi="Times New Roman"/>
          <w:sz w:val="17"/>
          <w:szCs w:val="17"/>
          <w:u w:val="single" w:color="auto"/>
          <w:color w:val="auto"/>
        </w:rPr>
        <w:t>Underwriter,</w:t>
      </w:r>
      <w:r>
        <w:rPr>
          <w:rFonts w:ascii="Times New Roman" w:cs="Times New Roman" w:eastAsia="Times New Roman" w:hAnsi="Times New Roman"/>
          <w:sz w:val="17"/>
          <w:szCs w:val="17"/>
          <w:color w:val="auto"/>
        </w:rPr>
        <w:t>” and, together with the Company,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as follows:</w:t>
      </w:r>
    </w:p>
    <w:p>
      <w:pPr>
        <w:spacing w:after="0" w:line="164" w:lineRule="exact"/>
        <w:rPr>
          <w:sz w:val="20"/>
          <w:szCs w:val="20"/>
          <w:color w:val="auto"/>
        </w:rPr>
      </w:pPr>
    </w:p>
    <w:p>
      <w:pPr>
        <w:ind w:left="660" w:right="8580" w:hanging="652"/>
        <w:spacing w:after="0" w:line="500" w:lineRule="auto"/>
        <w:tabs>
          <w:tab w:leader="none" w:pos="19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Firm Shares</w:t>
      </w:r>
      <w:r>
        <w:rPr>
          <w:rFonts w:ascii="Times New Roman" w:cs="Times New Roman" w:eastAsia="Times New Roman" w:hAnsi="Times New Roman"/>
          <w:sz w:val="18"/>
          <w:szCs w:val="18"/>
          <w:color w:val="auto"/>
        </w:rPr>
        <w:t xml:space="preserve">. 1.1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i w:val="1"/>
          <w:iCs w:val="1"/>
          <w:color w:val="auto"/>
        </w:rPr>
        <w: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Nature and Purchase of Firm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0" w:firstLine="1952"/>
        <w:spacing w:after="0" w:line="266" w:lineRule="auto"/>
        <w:tabs>
          <w:tab w:leader="none" w:pos="215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and warranties herein contained, but subject to the terms and conditions herein set forth, the Company agrees to issue and sell to the Underwriters, an aggregate of [●] shares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of the Company’s American depositary shares, each representing eight Class B ordinary shares of the Company, par value US$0.00001 per share (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60" w:firstLine="1952"/>
        <w:spacing w:after="0" w:line="261" w:lineRule="auto"/>
        <w:tabs>
          <w:tab w:leader="none" w:pos="220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agree to purchase from the Company the number of Firm Shares set forth opposite its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and made a part hereof at a purchase price of US$[●] per Firm Share (93% of the per Firm Share offering price), and with such pricing information set forth in </w:t>
      </w:r>
      <w:r>
        <w:rPr>
          <w:rFonts w:ascii="Times New Roman" w:cs="Times New Roman" w:eastAsia="Times New Roman" w:hAnsi="Times New Roman"/>
          <w:sz w:val="18"/>
          <w:szCs w:val="18"/>
          <w:u w:val="single" w:color="auto"/>
          <w:color w:val="auto"/>
        </w:rPr>
        <w:t>Schedule 2-A</w:t>
      </w:r>
      <w:r>
        <w:rPr>
          <w:rFonts w:ascii="Times New Roman" w:cs="Times New Roman" w:eastAsia="Times New Roman" w:hAnsi="Times New Roman"/>
          <w:sz w:val="18"/>
          <w:szCs w:val="18"/>
          <w:color w:val="auto"/>
        </w:rPr>
        <w:t xml:space="preserve"> hereof. The Firm Shares are to be offered initially to the public at the offering price set forth on the cover page of the Prospectus (as defined in Section 2.1.1 hereof).</w:t>
      </w:r>
    </w:p>
    <w:p>
      <w:pPr>
        <w:spacing w:after="0" w:line="179" w:lineRule="exact"/>
        <w:rPr>
          <w:rFonts w:ascii="Times New Roman" w:cs="Times New Roman" w:eastAsia="Times New Roman" w:hAnsi="Times New Roman"/>
          <w:sz w:val="18"/>
          <w:szCs w:val="18"/>
          <w:color w:val="auto"/>
        </w:rPr>
      </w:pPr>
    </w:p>
    <w:p>
      <w:pPr>
        <w:ind w:right="240" w:firstLine="1952"/>
        <w:spacing w:after="0" w:line="261" w:lineRule="auto"/>
        <w:tabs>
          <w:tab w:leader="none" w:pos="225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engage the Underwriters for the period beginning on June 12, 2024 and ending on the earlier of twelve (12) months thereafter or upon the final closing of the Offering (as defined below in Section 1.2.1), whichever is sooner (the “</w:t>
      </w:r>
      <w:r>
        <w:rPr>
          <w:rFonts w:ascii="Times New Roman" w:cs="Times New Roman" w:eastAsia="Times New Roman" w:hAnsi="Times New Roman"/>
          <w:sz w:val="18"/>
          <w:szCs w:val="18"/>
          <w:b w:val="1"/>
          <w:bCs w:val="1"/>
          <w:color w:val="auto"/>
        </w:rPr>
        <w:t>Engagement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to act as the Company’s (except as the Underwriters and the Company may otherwise agree in writing) Underwriters and investment banker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Offering.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Delivery and payment for the Firm Shares shall be made at 10:00 a.m., Eastern time, on the second (2nd)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(as defined below) following the effective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Registration Statement (as defined in Section 2.1.1 below)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(3rd) Business Day following the Effective Date if the Registration Statement is declared effective after 4:01 p.m., Eastern time) or at such earlier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as shall be agreed upon by the Parties, at the offices of Sichenzia Ross Ference Carmel LLP, 1185 Avenue of the Americas Street, 31st Floor,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New York 10036, Underwriters’ Counsel (“</w:t>
      </w:r>
      <w:r>
        <w:rPr>
          <w:rFonts w:ascii="Times New Roman" w:cs="Times New Roman" w:eastAsia="Times New Roman" w:hAnsi="Times New Roman"/>
          <w:sz w:val="18"/>
          <w:szCs w:val="18"/>
          <w:b w:val="1"/>
          <w:bCs w:val="1"/>
          <w:color w:val="auto"/>
        </w:rPr>
        <w:t>Underwriters’ Counsel</w:t>
      </w:r>
      <w:r>
        <w:rPr>
          <w:rFonts w:ascii="Times New Roman" w:cs="Times New Roman" w:eastAsia="Times New Roman" w:hAnsi="Times New Roman"/>
          <w:sz w:val="18"/>
          <w:szCs w:val="18"/>
          <w:color w:val="auto"/>
        </w:rPr>
        <w:t>”), or at such other place (or remotely by facsimile or other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as shall be agreed upon by the Parties. The hour and date of delivery and payment for the Firm Shares is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Payment for the Firm Shares shall be made on the Closing Date by wire transfer in federal (same day) funds (“</w:t>
      </w:r>
      <w:r>
        <w:rPr>
          <w:rFonts w:ascii="Times New Roman" w:cs="Times New Roman" w:eastAsia="Times New Roman" w:hAnsi="Times New Roman"/>
          <w:sz w:val="18"/>
          <w:szCs w:val="18"/>
          <w:b w:val="1"/>
          <w:bCs w:val="1"/>
          <w:color w:val="auto"/>
        </w:rPr>
        <w:t>Federal Funds</w:t>
      </w:r>
      <w:r>
        <w:rPr>
          <w:rFonts w:ascii="Times New Roman" w:cs="Times New Roman" w:eastAsia="Times New Roman" w:hAnsi="Times New Roman"/>
          <w:sz w:val="18"/>
          <w:szCs w:val="18"/>
          <w:color w:val="auto"/>
        </w:rPr>
        <w:t>”),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order of the Company upon delivery to the Underwriters of certificates (in form and substance satisfactory to the Underwriters) representing the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(or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Underwriters. The Firm Shares shall be registered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name or names and in such authorized denominations as the Underwriters may request in writing at least two (2) full Business Days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The Company will permit the Underwriters to examine and package the Firm Shares for delivery, at least one (1) full Business Day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 The Company shall not be obligated to sell or deliver the Firm Shares except upon tender of payment by the Underwriters for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Shares.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 legal holiday or any other day on which commercial banks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City of New York are authorized or required by law to remain closed,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clarification, commercial banks shall not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authorized or required by law to remain closed due to “stay at home,” “shelter-in-place,” “non-essential employee” or any other similar orders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or the closure of any physical branch locations at the direction of any governmental authority so long as the electronic funds transfer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for wire transfers) of commercial banks in the City of New York are generally are open for use by customers on such day.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For the purposes of covering any over-allotments in connection with the distribution and sale of the Firm Shares, the Company hereby grants to the Underwriters an option to purchase up to [●] ADS, representing fifteen percent (15%) of the Firm Shares sold in the Offering, from the Company (the “</w:t>
      </w:r>
      <w:r>
        <w:rPr>
          <w:rFonts w:ascii="Times New Roman" w:cs="Times New Roman" w:eastAsia="Times New Roman" w:hAnsi="Times New Roman"/>
          <w:sz w:val="18"/>
          <w:szCs w:val="18"/>
          <w:b w:val="1"/>
          <w:bCs w:val="1"/>
          <w:color w:val="auto"/>
        </w:rPr>
        <w:t>Over-allotment Option</w:t>
      </w:r>
      <w:r>
        <w:rPr>
          <w:rFonts w:ascii="Times New Roman" w:cs="Times New Roman" w:eastAsia="Times New Roman" w:hAnsi="Times New Roman"/>
          <w:sz w:val="18"/>
          <w:szCs w:val="18"/>
          <w:color w:val="auto"/>
        </w:rPr>
        <w:t>”). Such [●] additional ADS, the net proceeds of which will be deposited with the Company’s account, are hereinafter referred to as “</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The purchase price to be paid per Option Share shall be equal to the price per Firm Share set forth in Section 1.1.1(ii) hereof. The Firm Shares and the Option Shares are hereinafter referred to together as the “</w:t>
      </w:r>
      <w:r>
        <w:rPr>
          <w:rFonts w:ascii="Times New Roman" w:cs="Times New Roman" w:eastAsia="Times New Roman" w:hAnsi="Times New Roman"/>
          <w:sz w:val="18"/>
          <w:szCs w:val="18"/>
          <w:b w:val="1"/>
          <w:bCs w:val="1"/>
          <w:color w:val="auto"/>
        </w:rPr>
        <w:t>Public Securities</w:t>
      </w:r>
      <w:r>
        <w:rPr>
          <w:rFonts w:ascii="Times New Roman" w:cs="Times New Roman" w:eastAsia="Times New Roman" w:hAnsi="Times New Roman"/>
          <w:sz w:val="18"/>
          <w:szCs w:val="18"/>
          <w:color w:val="auto"/>
        </w:rPr>
        <w:t>.” The offering and sale of the Public Securities is hereinafter referred to as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The Over-allotment Option granted pursuant to Section 1.2.1 hereof may be exercised by the Underwriters as to all (at any time) or any part (from time to time) of the Option Shares within 45 days after the closing date of the Offering. The Underwriters shall not be under any obligation to purchase any Option Shares prior to the exercise of the Over-allotment Option. The Over-allotment Option granted hereby may be exercised by the giving of oral notice to the Company from the Underwriters, which must be confirmed in writing by overnight mail or facsimile or other electronic transmission setting forth the number of Option Shares to be purchased and the date and time for delivery of and payment for the Option Shares (the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which shall not be later than two (2) full Business Days after the date of the notice or such other time as shall be agreed upon by the Parties, at the offices of Underwriters’ Counsel or at such other place (including remotely by facsimile or other electronic transmission) as shall be agreed upon by the Parties. If such delivery and payment for the Option Shares does not occur on the Closing Date, the Option Closing Date will be as set forth in the notice. Upon exercise of the Over-allotment Option with respect to all or any portion of the Option Shares, subject to the terms and conditions set forth herein, (i) the Company shall become obligated to sell to the Underwriters the number of Option Shares specified in such notice and (ii) the Underwriters shall purchase that portion of the total number of Option Shares then being purchased as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opposite the name of the Underwriters.</w:t>
      </w:r>
    </w:p>
    <w:p>
      <w:pPr>
        <w:spacing w:after="0" w:line="190"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for the Option Shares shall be made on the Option Closing Date by wire transfer in Federal Funds, payable to the order of the Company upon delivery to the Underwriters of certificates (in form and substance satisfactory to the Underwriters) representing the Option Shares (or through the facilities of DTC) for the account of the Underwriters. The Option Shares shall be registered in such name or names and in such authorized denominations as the Underwriters may request in writing at least two (2) full Business Days prior to the Option Closing Date. The Company shall not be obligated to sell or deliver the Option Shares except upon tender of payment by the Underwriters for applicable Option Shares. The Option Closing Date may be simultaneous with, but not earlier than, the Closing Date; and in the event that such time and date are simultaneous with the Closing Date, the term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refer to the time and date of delivery of the Public Securities.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Advisory Fee.</w:t>
      </w:r>
      <w:r>
        <w:rPr>
          <w:rFonts w:ascii="Times New Roman" w:cs="Times New Roman" w:eastAsia="Times New Roman" w:hAnsi="Times New Roman"/>
          <w:sz w:val="18"/>
          <w:szCs w:val="18"/>
          <w:color w:val="auto"/>
        </w:rPr>
        <w:t xml:space="preserve"> The Company shall pay to the Underwriters an additional advisory fee in the amount of $30,000, contingent upon the successful closing of the Offering on or before December 12, 2024.</w:t>
      </w:r>
    </w:p>
    <w:p>
      <w:pPr>
        <w:spacing w:after="0" w:line="162" w:lineRule="exact"/>
        <w:rPr>
          <w:sz w:val="20"/>
          <w:szCs w:val="20"/>
          <w:color w:val="auto"/>
        </w:rPr>
      </w:pPr>
    </w:p>
    <w:p>
      <w:pPr>
        <w:ind w:right="500" w:firstLine="8"/>
        <w:spacing w:after="0" w:line="282" w:lineRule="auto"/>
        <w:tabs>
          <w:tab w:leader="none" w:pos="1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Underwriters as of the Applicable Time (as defined below), as of the Closing Date and as of the Option Closing Date, if any,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Filing of Registration Statement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Pursuant to the Securities Act</w:t>
      </w:r>
      <w:r>
        <w:rPr>
          <w:rFonts w:ascii="Times New Roman" w:cs="Times New Roman" w:eastAsia="Times New Roman" w:hAnsi="Times New Roman"/>
          <w:sz w:val="18"/>
          <w:szCs w:val="18"/>
          <w:color w:val="auto"/>
        </w:rPr>
        <w:t>. The Company has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and any amendment or amendments thereto, on Form F-1 (File No. 333-274857), including any related prospectus or prospectuses, for the registration of the Public Securities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which registration statement and amendment or amendments have been prepared by the Company in conformity with the requirements of the Securities Act and the rules and regulations of the Commission under the Securities Act (the “</w:t>
      </w:r>
      <w:r>
        <w:rPr>
          <w:rFonts w:ascii="Times New Roman" w:cs="Times New Roman" w:eastAsia="Times New Roman" w:hAnsi="Times New Roman"/>
          <w:sz w:val="18"/>
          <w:szCs w:val="18"/>
          <w:b w:val="1"/>
          <w:bCs w:val="1"/>
          <w:color w:val="auto"/>
        </w:rPr>
        <w:t>Securities Act Regulations</w:t>
      </w:r>
      <w:r>
        <w:rPr>
          <w:rFonts w:ascii="Times New Roman" w:cs="Times New Roman" w:eastAsia="Times New Roman" w:hAnsi="Times New Roman"/>
          <w:sz w:val="18"/>
          <w:szCs w:val="18"/>
          <w:color w:val="auto"/>
        </w:rPr>
        <w:t>”). The conditions for use of Form F-1 as set forth in the General Instructions to such Form F-1, to register Public Securities under the Securities Act, have been satisfied. Except as the context may otherwise require, such registration statement, as amended, on file with the Commission at the time the registration statement became effective (including the Preliminary Prospectus (as defined below) included in the registration statement, financial statements, schedules, exhibits and all other documents filed as a part thereof or incorporated therein and all information deemed to be a part thereof as of the Effective Date pursuant to Rule 430A of the Securities Act Regulations (the “</w:t>
      </w:r>
      <w:r>
        <w:rPr>
          <w:rFonts w:ascii="Times New Roman" w:cs="Times New Roman" w:eastAsia="Times New Roman" w:hAnsi="Times New Roman"/>
          <w:sz w:val="18"/>
          <w:szCs w:val="18"/>
          <w:b w:val="1"/>
          <w:bCs w:val="1"/>
          <w:color w:val="auto"/>
        </w:rPr>
        <w:t>Rule 430A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If the Company files any registration statement pursuant to Rule 462(b) of the Securities Act Regulations, then after such filing, the term “Registration Statement” shall include such registration statement filed pursuant to Rule 462(b). The Registration Statement has been declared effective by the Commission on the date hereof.</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The Preliminary Prospectus, subject to completion, dated [DATE], 2024, that was included in the Registration Statement immediately prior to the Applicable Time is hereinafter called the “</w:t>
      </w:r>
      <w:r>
        <w:rPr>
          <w:rFonts w:ascii="Times New Roman" w:cs="Times New Roman" w:eastAsia="Times New Roman" w:hAnsi="Times New Roman"/>
          <w:sz w:val="18"/>
          <w:szCs w:val="18"/>
          <w:b w:val="1"/>
          <w:bCs w:val="1"/>
          <w:color w:val="auto"/>
        </w:rPr>
        <w:t>Pricing Prospectus</w:t>
      </w:r>
      <w:r>
        <w:rPr>
          <w:rFonts w:ascii="Times New Roman" w:cs="Times New Roman" w:eastAsia="Times New Roman" w:hAnsi="Times New Roman"/>
          <w:sz w:val="18"/>
          <w:szCs w:val="18"/>
          <w:color w:val="auto"/>
        </w:rPr>
        <w:t>.” The final prospectus in the form first furnished to the Underwriters for use in the Offering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Any reference to the “most recent Preliminary Prospectus” shall be deemed to refer to the latest Preliminary Prospectus included in the Registration Statement.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78" w:name="page179"/>
    <w:bookmarkEnd w:id="17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[TIME] [a.m.]/[p.m.], Eastern time, on the date of this Agreement.</w:t>
      </w:r>
    </w:p>
    <w:p>
      <w:pPr>
        <w:spacing w:after="0" w:line="225"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Securities Act Regulations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2" w:lineRule="exact"/>
        <w:rPr>
          <w:sz w:val="20"/>
          <w:szCs w:val="20"/>
          <w:color w:val="auto"/>
        </w:rPr>
      </w:pPr>
    </w:p>
    <w:p>
      <w:pPr>
        <w:jc w:val="both"/>
        <w:ind w:right="2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433(h)(5) under the Securities Act (the “</w:t>
      </w:r>
      <w:r>
        <w:rPr>
          <w:rFonts w:ascii="Times New Roman" w:cs="Times New Roman" w:eastAsia="Times New Roman" w:hAnsi="Times New Roman"/>
          <w:sz w:val="18"/>
          <w:szCs w:val="18"/>
          <w:b w:val="1"/>
          <w:bCs w:val="1"/>
          <w:color w:val="auto"/>
        </w:rPr>
        <w:t>Bona Fide 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as evidenced by its being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71" w:lineRule="exact"/>
        <w:rPr>
          <w:sz w:val="20"/>
          <w:szCs w:val="20"/>
          <w:color w:val="auto"/>
        </w:rPr>
      </w:pPr>
    </w:p>
    <w:p>
      <w:pPr>
        <w:ind w:right="5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55" w:lineRule="exact"/>
        <w:rPr>
          <w:sz w:val="20"/>
          <w:szCs w:val="20"/>
          <w:color w:val="auto"/>
        </w:rPr>
      </w:pPr>
    </w:p>
    <w:p>
      <w:pPr>
        <w:ind w:right="3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xml:space="preserve">” means any Issuer General Use Free Writing Prospectus issued at or prior to the Applicable Time, the Pricing Prospectus and the information included on </w:t>
      </w:r>
      <w:r>
        <w:rPr>
          <w:rFonts w:ascii="Times New Roman" w:cs="Times New Roman" w:eastAsia="Times New Roman" w:hAnsi="Times New Roman"/>
          <w:sz w:val="18"/>
          <w:szCs w:val="18"/>
          <w:u w:val="single" w:color="auto"/>
          <w:color w:val="auto"/>
        </w:rPr>
        <w:t>Schedule 2-A</w:t>
      </w:r>
      <w:r>
        <w:rPr>
          <w:rFonts w:ascii="Times New Roman" w:cs="Times New Roman" w:eastAsia="Times New Roman" w:hAnsi="Times New Roman"/>
          <w:sz w:val="18"/>
          <w:szCs w:val="18"/>
          <w:color w:val="auto"/>
        </w:rPr>
        <w:t xml:space="preserve"> hereto, all considered together.</w:t>
      </w:r>
    </w:p>
    <w:p>
      <w:pPr>
        <w:spacing w:after="0" w:line="159"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Pursuant to the Exchange Act</w:t>
      </w:r>
      <w:r>
        <w:rPr>
          <w:rFonts w:ascii="Times New Roman" w:cs="Times New Roman" w:eastAsia="Times New Roman" w:hAnsi="Times New Roman"/>
          <w:sz w:val="18"/>
          <w:szCs w:val="18"/>
          <w:color w:val="auto"/>
        </w:rPr>
        <w:t>. The Company has filed with the Commission a Form 8-A (File No. [NUMBER]) providing for the registration pursuant to Section 12(b)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the Public Securities. The registration of the Public Securities under the Exchange Act has been declared effective by the Commission on or prior to the date hereof. The Company has taken no action designed to, or likely to have the effect of, terminating the registration of the Public Securities under the Exchange Act, nor has the Company received any notification that the Commission is contemplating terminating such registration.</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Public Securities have been approved for listing on the Nasdaq Capital Market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subject only to official notice of issuance, and the Company has taken no action designed to, or likely to have the effect of, delisting the Public Securities from the Exchange, nor has the Company received any notification that the Exchange is contemplating terminating such listing except as described in the Registration Statement, the Pricing Disclosure Package and the Prospectus.</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Neither the Commission nor any state regulatory authority has issued any order preventing or suspending the use of the Registration Statement, any Preliminary Prospectus or the Prospectus or has instituted or threatened to institute, any proceedings with respect to such an order. The Company has complied with each request (if any) from the Commission for additional information.</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Disclosures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Compliance with Securities Act and 10b-5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952"/>
        <w:spacing w:after="0" w:line="270" w:lineRule="auto"/>
        <w:tabs>
          <w:tab w:leader="none" w:pos="215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effectiveness of the Registration Statement (or at the time of any post-effective amendment to the Registration Statement) and at all times subsequent thereto up to the Closing Date and as of the Option Closing Date, if any, the Registration Statement, the Preliminary Prospectus and the Prospectus do and will contain all material statements that are required to be stated therein in accordance with the Securities Act and the Securities Act Regulations, and did or will, in all material respects, conform to the requirements of the Securities Act and the Securities Act Regulations.</w:t>
      </w:r>
    </w:p>
    <w:p>
      <w:pPr>
        <w:spacing w:after="0" w:line="2" w:lineRule="exact"/>
        <w:rPr>
          <w:rFonts w:ascii="Times New Roman" w:cs="Times New Roman" w:eastAsia="Times New Roman" w:hAnsi="Times New Roman"/>
          <w:sz w:val="17"/>
          <w:szCs w:val="17"/>
          <w:color w:val="auto"/>
        </w:rPr>
      </w:pPr>
    </w:p>
    <w:p>
      <w:pPr>
        <w:ind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the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except to the extent permitted by Regulation S-T promulgated under the Securities Act (“</w:t>
      </w:r>
      <w:r>
        <w:rPr>
          <w:rFonts w:ascii="Times New Roman" w:cs="Times New Roman" w:eastAsia="Times New Roman" w:hAnsi="Times New Roman"/>
          <w:sz w:val="18"/>
          <w:szCs w:val="18"/>
          <w:b w:val="1"/>
          <w:bCs w:val="1"/>
          <w:color w:val="auto"/>
        </w:rPr>
        <w:t>Regulation S-T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7"/>
          <w:szCs w:val="17"/>
          <w:color w:val="auto"/>
        </w:rPr>
      </w:pPr>
    </w:p>
    <w:p>
      <w:pPr>
        <w:ind w:firstLine="1952"/>
        <w:spacing w:after="0" w:line="261" w:lineRule="auto"/>
        <w:tabs>
          <w:tab w:leader="none" w:pos="220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right="20" w:firstLine="1952"/>
        <w:spacing w:after="0" w:line="253" w:lineRule="auto"/>
        <w:tabs>
          <w:tab w:leader="none" w:pos="225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in any material respect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statements made or statements omitted in reliance upon and in conformity with written information furnished to the Company with respect to the Underwriters by the Underwriters expressly for use in the Registration Statement, the Pricing Prospectus or the Prospectus or any amendment thereof or supplement thereto. The Parties acknowledge and agree that such information provided by or on behalf of the Underwriters consists solely of the following: the names of the Underwriters, the information with respect to stabilizing transactions contained in the section “Underwriting - Price Stabilization, Short Positions, and Penalty Bids”, the section “Discounts and Expenses,” the distribution information under “Electronic Offer, Sale and Distribution of Securities”, the number of Firm Shares and/or Option Shares to be purchased by the Underwriters. (the “</w:t>
      </w:r>
      <w:r>
        <w:rPr>
          <w:rFonts w:ascii="Times New Roman" w:cs="Times New Roman" w:eastAsia="Times New Roman" w:hAnsi="Times New Roman"/>
          <w:sz w:val="18"/>
          <w:szCs w:val="18"/>
          <w:b w:val="1"/>
          <w:bCs w:val="1"/>
          <w:color w:val="auto"/>
        </w:rPr>
        <w:t>Underwriters’ Information</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0" w:name="page181"/>
    <w:bookmarkEnd w:id="180"/>
    <w:p>
      <w:pPr>
        <w:ind w:right="40" w:firstLine="1952"/>
        <w:spacing w:after="0" w:line="261" w:lineRule="auto"/>
        <w:tabs>
          <w:tab w:leader="none" w:pos="224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Prospectus nor any amendment or supplement thereto,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the Underwriters’ Information.</w:t>
      </w:r>
    </w:p>
    <w:p>
      <w:pPr>
        <w:spacing w:after="0" w:line="18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Disclosure of Agreements</w:t>
      </w:r>
      <w:r>
        <w:rPr>
          <w:rFonts w:ascii="Times New Roman" w:cs="Times New Roman" w:eastAsia="Times New Roman" w:hAnsi="Times New Roman"/>
          <w:sz w:val="18"/>
          <w:szCs w:val="18"/>
          <w:color w:val="auto"/>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or any of its properties is or may be bound or affected and that is (i) referred to in the Registration Statement, the Pricing Disclosure Package and the Prospectus, or (ii) material to the Company’s business, has been duly authorized and validly executed by the Company, is in full force and effect in all material respects and constitutes the legal, valid and binding obligation of the Company, enforceable against the Company and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any other party is in default thereunder and no event has occurred that, with the lapse of time or the giving of notice, or both, would constitute a default thereunder except for such defaults that would not reasonably be expected to result in a Material Adverse Change (as defined in Section 2.5.1 below). Performance by the Company of the material provisions of such agreements or instruments will not result in a violation of any existing applicable law, rule, regulation, judgment, order or decree of any Governmental Entity, including, without limitation, those relating to environmental laws and regulations.</w:t>
      </w:r>
    </w:p>
    <w:p>
      <w:pPr>
        <w:spacing w:after="0" w:line="19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Prior Securities Transactions</w:t>
      </w:r>
      <w:r>
        <w:rPr>
          <w:rFonts w:ascii="Times New Roman" w:cs="Times New Roman" w:eastAsia="Times New Roman" w:hAnsi="Times New Roman"/>
          <w:sz w:val="18"/>
          <w:szCs w:val="18"/>
          <w:color w:val="auto"/>
        </w:rPr>
        <w:t>.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spacing w:after="0" w:line="176" w:lineRule="exact"/>
        <w:rPr>
          <w:sz w:val="20"/>
          <w:szCs w:val="20"/>
          <w:color w:val="auto"/>
        </w:rPr>
      </w:pPr>
    </w:p>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disclosures in the Registration Statement, the Pricing Disclosure Package and the Prospectus concerning the effects of applicable federal, state, local and any applicable foreign laws, rules and regulations relating to the Offering and the Company’s business as currently conducted are correct and complete in all material respects.</w:t>
      </w:r>
    </w:p>
    <w:p>
      <w:pPr>
        <w:spacing w:after="0" w:line="176"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u w:val="single" w:color="auto"/>
          <w:color w:val="auto"/>
        </w:rPr>
        <w:t>No Other Distribution of Offering Materials</w:t>
      </w:r>
      <w:r>
        <w:rPr>
          <w:rFonts w:ascii="Times New Roman" w:cs="Times New Roman" w:eastAsia="Times New Roman" w:hAnsi="Times New Roman"/>
          <w:sz w:val="18"/>
          <w:szCs w:val="18"/>
          <w:color w:val="auto"/>
        </w:rPr>
        <w:t>. The Company has not, directly or indirectly, distributed and will not distribute any offering material in connection with the Offering other than any Preliminary Prospectus, any Issuer Free Writing Prospectus, the Prospectus and other materials, if any, permitted under the Securities Act and consistent with Section 3.2 below.</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Changes After Dates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respective dates as of which information is given in the Registration Statement, the Pricing Disclosure Package and the Prospectus, except as otherwise specifically stated therein: (i) there has been no material adverse change in the condition, financial or otherwise, results of operations, business, assets or prospects of the Company and its subsidiaries (“Subsidiaries,” and each, “Subsidiary”) taken as a whole, nor any change or development that, individually or in the aggregate, would have a material adverse effect on the condition (financial or otherwise), results of operations, business, assets or prospects of the Company and its Subsidiaries taken as a whole (“Material Adverse Change”); (ii) there have been no material transactions entered into by the Company or its Subsidiaries, other than as contemplated pursuant to this Agreement; and (iii) no executive officer or director of the Company has resigned from any position with the Company.</w:t>
      </w:r>
    </w:p>
    <w:p>
      <w:pPr>
        <w:spacing w:after="0" w:line="189" w:lineRule="exact"/>
        <w:rPr>
          <w:sz w:val="20"/>
          <w:szCs w:val="20"/>
          <w:color w:val="auto"/>
        </w:rPr>
      </w:pPr>
    </w:p>
    <w:p>
      <w:pPr>
        <w:ind w:right="4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Recent Securities Transactions, etc</w:t>
      </w:r>
      <w:r>
        <w:rPr>
          <w:rFonts w:ascii="Times New Roman" w:cs="Times New Roman" w:eastAsia="Times New Roman" w:hAnsi="Times New Roman"/>
          <w:sz w:val="18"/>
          <w:szCs w:val="18"/>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Disclosures in Commission Filings</w:t>
      </w:r>
      <w:r>
        <w:rPr>
          <w:rFonts w:ascii="Times New Roman" w:cs="Times New Roman" w:eastAsia="Times New Roman" w:hAnsi="Times New Roman"/>
          <w:sz w:val="18"/>
          <w:szCs w:val="18"/>
          <w:color w:val="auto"/>
        </w:rPr>
        <w:t>. None of the Company’s filings with, or other documents furnished to, the Commission contained any untrue statement of a material fact or omitted to state any material fact necessary in order to make the statements therein, in the light of the circumstances under which they were made, not misleading; provided, however, that this representation and warranty shall not apply to the Underwriters’ Information. The Company has made all filings with the Commission required under the Exchange Act and the rules and regulations of the Commission promulgated thereunder (the “</w:t>
      </w:r>
      <w:r>
        <w:rPr>
          <w:rFonts w:ascii="Times New Roman" w:cs="Times New Roman" w:eastAsia="Times New Roman" w:hAnsi="Times New Roman"/>
          <w:sz w:val="18"/>
          <w:szCs w:val="18"/>
          <w:b w:val="1"/>
          <w:bCs w:val="1"/>
          <w:color w:val="auto"/>
        </w:rPr>
        <w:t>Exchange Act Regulations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Marcum Asia CPAs LLP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including the rules and regulations promulgated by such entity. The Auditor is currently registered and in good standing with the PCAOB. The Auditor has not, during the periods covered by the financial statements included in the Registration Statement, the Pricing Disclosure Package and the Prospectus, provided to the Company any non-audit services, within the meaning of such term in Section 10A(g) of the Exchange Act.</w:t>
      </w:r>
    </w:p>
    <w:p>
      <w:pPr>
        <w:spacing w:after="0" w:line="18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Financial Statements, etc</w:t>
      </w:r>
      <w:r>
        <w:rPr>
          <w:rFonts w:ascii="Times New Roman" w:cs="Times New Roman" w:eastAsia="Times New Roman" w:hAnsi="Times New Roman"/>
          <w:sz w:val="18"/>
          <w:szCs w:val="18"/>
          <w:color w:val="auto"/>
        </w:rPr>
        <w:t>. The financial statements, including the notes thereto and supporting schedules (if any) included in the Registration Statement, the Pricing Disclosure Package and the Prospectus, fairly present the financial condition, the results of operations and the cash flows of the Company at the dates and for the periods to which they apply; and such financial statements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if any, included in the Registration Statement present fairly the information required to be stated therein. Except as included therein, no other historical or pro forma financial statements or supporting schedules are required to be included in the Registration Statement, the Pricing Disclosure Package or the Prospectus under the Securities Act or the Securities Act Regulations. The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in the judgment of the Company,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materially comply with Regulation G of the Exchange Act and Item 10(e) of Regulation S-K of the Securities Act, to the extent applicable. the Registration Statement, the Pricing Disclosure Package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results of operations, liquidity, capital expenditures, capital resources, or significant components of revenues or expenses. Except as disclosed in the Registration Statement, the Pricing Disclosure Package and the Prospectus, (a) since the date of the last balance sheet included in the Registration Statement, the Pricing Disclosure Package and the Prospectus, neither the Company nor any of its direct or indirect subsidiaries, including each entity disclosed or described in the Registration Statement, the Pricing Disclosure Package and the Prospectus as being a Subsidiary,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ordinary course of business, any grants under any stock compensation plan, and (d) there has not been any Material Adverse Change in the Company’s long-term or short-term debt. The Company represents that it has no direct or indirect Subsidiaries other than those listed in the Registration Statement.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Authorized Capital; Options, etc</w:t>
      </w:r>
      <w:r>
        <w:rPr>
          <w:rFonts w:ascii="Times New Roman" w:cs="Times New Roman" w:eastAsia="Times New Roman" w:hAnsi="Times New Roman"/>
          <w:sz w:val="18"/>
          <w:szCs w:val="18"/>
          <w:color w:val="auto"/>
        </w:rPr>
        <w:t>.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or on the Option Closing Date, as the case may be, the adjusted capitalization set forth therein. Except as set forth in, or contemplated by, the Registration Statement, the Pricing Disclosure Package and the Prospectus, on the Effective Date, as of the Applicable Time and on the Closing Date and any Option Closing Date, there will be no stock options, warrants, or other rights to purchase or otherwise acquire any authorized, but unissued shares of capital stock of the Company or any security convertible into any class of capital stock of the Company, or any contracts or commitments to issue or sell any class of capital stock or any such options, warrants, rights or convertible securities.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Valid Issuance of Securities, etc.</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2.10.1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 All issued and outstanding securities of the Company issued prior to the transactions contemplated by this Agreement have been duly authorized and validly issued and are fully paid and non-assessable; except as disclosed in the Registration Statement, the Pricing Disclosure Package and the Prospectus, the holders thereof have no contractual rights of rescission or the ability to require the Company to repurchase such securities, and are not subject to personal liability by reason of being such holders; and none of such securities were issued in violation of the preemptive rights, rights of first refusal or rights of participation of any holders of any security of the Company or similar contractual rights granted by the Company. The authorized shares of the Company’s capital stock conform in all material respects to all statements relating thereto contained in the Registration Statement, the Pricing Disclosure Package and the Prospectus. Prior to the date hereof, all offers and sales of the outstanding shares of capital stock, options, warrants and other rights to purchase or exchange such securities for shares of capital stock were at all relevant times either registered under the Securities Act and the applicable state securities or “blue sky” laws or based in part on the representations and warranties of the purchasers of such capital stock, exempt from such registration requirements. The description of the Company’s stock option, stock bonus and other stock plans or arrangements, and the options or other rights granted thereunder, as described in the Registration Statement, the Pricing Disclosure Package and the Prospectus, accurately and fairly present, in all material respects, the information required to be shown with respect to such plans, arrangements, options and rights.</w:t>
      </w:r>
    </w:p>
    <w:p>
      <w:pPr>
        <w:spacing w:after="0" w:line="187"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2.10.2 </w:t>
      </w:r>
      <w:r>
        <w:rPr>
          <w:rFonts w:ascii="Times New Roman" w:cs="Times New Roman" w:eastAsia="Times New Roman" w:hAnsi="Times New Roman"/>
          <w:sz w:val="18"/>
          <w:szCs w:val="18"/>
          <w:u w:val="single" w:color="auto"/>
          <w:color w:val="auto"/>
        </w:rPr>
        <w:t>Securities Sold Pursuant to this Agreement</w:t>
      </w:r>
      <w:r>
        <w:rPr>
          <w:rFonts w:ascii="Times New Roman" w:cs="Times New Roman" w:eastAsia="Times New Roman" w:hAnsi="Times New Roman"/>
          <w:sz w:val="18"/>
          <w:szCs w:val="18"/>
          <w:color w:val="auto"/>
        </w:rPr>
        <w:t>. The Public Securities have been duly authorized for issuance and sale and, when issued and paid for, will be validly issued, fully paid and non-assessable. The holders of the Public Securities will not be subject to personal liability by reason of being such holders.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 The Public Securities conform in all material respects to all statements with respect thereto contained in the Registration Statement, the Pricing Disclosure Package and the Prospectus.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83" w:name="page184"/>
    <w:bookmarkEnd w:id="18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Except as set forth in the Registration Statement, the Pricing Disclosure Package and the Prospectus, no holders of any securities of the Company or any options, warrants, rights or other securities exercisable for or convertible or exchangeable into securities of the Company have the right to require the Company to register any such securities of the Company under the Securities Act or to include any such securities in the Registration Statement or any other registration statement to be filed by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This Agreement has been duly and validly authorized by the Company, and, when executed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by the Company, will constitute, a legal, valid and binding agreement of the Company, enforceable against the Company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terms, except in each case: (i) as such enforceability may be limited by bankruptcy, insolvency, reorganization or similar laws affecting creditors’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(ii) as enforceability of any indemnification or contribution provision may be limited under the federal and state securities laws; and (iii)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 of specific performance and injunctive and other forms of equitable relief may be subject to the equitable defenses and to the discretion of the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which any proceeding therefor may be brought.</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The execution, delivery and performance by the Company of this Agreement and all other documents ancillary hereto, the consummation by the Company of the transactions herein and therein contemplated and the compliance by the Company with the terms hereof and thereof do not and will not, with or without the giving of notice or the lapse of time or both: (i) result in any violation of the provisions of the Memorandum of Association (as amended or restated from time to time,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or the Articles of Association of the Company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(ii)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indenture, mortgage, deed of trust, loan agreement or any other agreement or instrument to which the Company is a party or as to which any property of the Company is subject; or (iii) violate any applicable law, rule, regulation, judgment, order or decree of any governmental or regulatory agency, authority, body, entity or court, domestic or foreign, having jurisdiction over the Company or any of its assets or businesses (each, a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as of the date hereof, except, in the case of clauses (ii) or (iii) of this Section 2.13, for those breaches, violations or conflicts which (individually or in the aggregate) would not have or reasonably be expected to result in a Material Adverse Change.</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Except as set forth in the Registration Statement, the Pricing Disclosure Package and the Prospectus, no default exists in the due performance and observance of any term, covenant or condition of any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except, in each case, for those defaults which (individually or in the aggregate) would not have or reasonably be expected to result in a Material Adverse Change. The Company is not in violation of any franchise, license, permit, applicable law, rule, regulation, judgment, order or decree of any Governmental Entity, except, in each case, for those violations which (individually and in the aggregate) would not have or reasonably be expected to result in a Material Adverse Change.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Corporate Power; Licenses;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2.15.1 Conduct of Business</w:t>
      </w:r>
      <w:r>
        <w:rPr>
          <w:rFonts w:ascii="Times New Roman" w:cs="Times New Roman" w:eastAsia="Times New Roman" w:hAnsi="Times New Roman"/>
          <w:sz w:val="18"/>
          <w:szCs w:val="18"/>
          <w:color w:val="auto"/>
        </w:rPr>
        <w:t>. Except as described in the Registration Statement, the Pricing Disclosure Package and the Prospectus, the Company has all requisite corporate power and authority, and has all necessary consents, authorizations, approvals, licenses, certificates, clearances, permits and orders and supplements and amendments thereto (collectively,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of and from all Governmental Entities required as of the date hereof for the Company to conduct its business as described in the Registration Statement, the Pricing Disclosure Package and the Prospectus, except, in each case, where the failure to have such Authorizations (individually or in the aggregate) would not have or reasonably be expected to result in a Material Adverse Change.</w:t>
      </w:r>
    </w:p>
    <w:p>
      <w:pPr>
        <w:spacing w:after="0" w:line="187"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2.15.2 </w:t>
      </w:r>
      <w:r>
        <w:rPr>
          <w:rFonts w:ascii="Times New Roman" w:cs="Times New Roman" w:eastAsia="Times New Roman" w:hAnsi="Times New Roman"/>
          <w:sz w:val="18"/>
          <w:szCs w:val="18"/>
          <w:u w:val="single" w:color="auto"/>
          <w:color w:val="auto"/>
        </w:rPr>
        <w:t>Transactions Contemplated Herein</w:t>
      </w:r>
      <w:r>
        <w:rPr>
          <w:rFonts w:ascii="Times New Roman" w:cs="Times New Roman" w:eastAsia="Times New Roman" w:hAnsi="Times New Roman"/>
          <w:sz w:val="18"/>
          <w:szCs w:val="18"/>
          <w:color w:val="auto"/>
        </w:rPr>
        <w:t>. The Company has all corporate power and authority to enter into this Agreement and to carry out the provisions and conditions hereof, and all Authorizations required in connection therewith have been obtained. No Authorization of, and no filing with, any Governmental Entity, the Exchange or another body is required for the valid issuance, sale and delivery of the Public Securities and the consummation of the transactions and agreements contemplated by this Agreement and as contemplated by the Registration Statement, the Pricing Disclosure Package and the Prospectus, except with respect to applicable federal and state securities or blue-sky laws, the rules of The Nasdaq Stock Market, LLC and the rules and regulations of the Exchange and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Questionnaires</w:t>
      </w:r>
      <w:r>
        <w:rPr>
          <w:rFonts w:ascii="Times New Roman" w:cs="Times New Roman" w:eastAsia="Times New Roman" w:hAnsi="Times New Roman"/>
          <w:sz w:val="18"/>
          <w:szCs w:val="18"/>
          <w:color w:val="auto"/>
        </w:rPr>
        <w:t>. All information contained in the questionnaires (the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completed by each of the Company’s directors and officers named in the section “Management” in the Prospectus and parties set forth in as supplemented by all information concerning the Company’s directors, officers and holders of 10% or more of the Company’s capital stock set forth in the Registration Statement, the Pricing Disclosure Package and the Prospectus provided to the Underwriters and its counsel, is true, correct and complete and the Company has not become aware of any information which would cause the information disclosed in the Questionnaires to become inaccurate, incorrect or incomplete.</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There is no action, suit, proceeding, inquiry, arbitration, investigation, litigation or governmental proceeding pending or, threatened, against, or involving the Company or any executive officer or director which has not been disclosed in the Registration Statement, the Pricing Disclosure Package and the Prospectus, or in connection with the Company’s listing application for the listing of the Public Securities on the Exchange, and is required to be disclosed therein.</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Company has been duly incorporated and is validly existing as an exempt company with limited liability and is in good standing under the laws of the Cayman Islands as of the date hereof, and is duly qualified to do business and is in good standing in each other jurisdiction in which its ownership or lease of property or the conduct of business requires such qualification, except where the failure to be so qualified or in good standing, singularly or in the aggregate, would not have or reasonably be expected to result in a Material Adverse Change.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On the Closing Date, the Company will carry or will be entitled to the benefits of insurance (including, without limitation, directors’ and officers’ insurance), with reputable insurers, in such amounts and covering such risks which the Company believes are adequate, and all such insurance is in full force and effect, except where the failure to maintain such insurance would not have or reasonably be expected to result in Material Adverse Change.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Transactions Affecting Disclosure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2.20.1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Except as described in the Registration Statement, the Pricing Disclosure Package and the Prospectus, there are no claims, payments, arrangements, agreements or understandings relating to the payment of a finder’s, consulting or origination fee by the Company with respect to the sale of the Public Securities hereunder or any other arrangements, agreements or understandings of the Company or any of its stockholders that may affect the Underwriters’ compensation, as determined by FINRA.</w:t>
      </w:r>
    </w:p>
    <w:p>
      <w:pPr>
        <w:spacing w:after="0" w:line="18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2.20.2 </w:t>
      </w:r>
      <w:r>
        <w:rPr>
          <w:rFonts w:ascii="Times New Roman" w:cs="Times New Roman" w:eastAsia="Times New Roman" w:hAnsi="Times New Roman"/>
          <w:sz w:val="18"/>
          <w:szCs w:val="18"/>
          <w:u w:val="single" w:color="auto"/>
          <w:color w:val="auto"/>
        </w:rPr>
        <w:t>Payments Within Twelve (12) Months</w:t>
      </w:r>
      <w:r>
        <w:rPr>
          <w:rFonts w:ascii="Times New Roman" w:cs="Times New Roman" w:eastAsia="Times New Roman" w:hAnsi="Times New Roman"/>
          <w:sz w:val="18"/>
          <w:szCs w:val="18"/>
          <w:color w:val="auto"/>
        </w:rPr>
        <w:t>. Except as disclosed in writing to the Underwriters or as described in the Registration Statement, the Pricing Disclosure Package and the Prospectus, the Company has not made any direct or indirect payments in connection with the Offering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the payment to the Underwriters as provided hereunder in connection with the Offering.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2.20.3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None of the net proceeds of the Offering will be paid by the Company to any participating FINRA member or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07"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2.20.4 </w:t>
      </w:r>
      <w:r>
        <w:rPr>
          <w:rFonts w:ascii="Times New Roman" w:cs="Times New Roman" w:eastAsia="Times New Roman" w:hAnsi="Times New Roman"/>
          <w:sz w:val="18"/>
          <w:szCs w:val="18"/>
          <w:u w:val="single" w:color="auto"/>
          <w:color w:val="auto"/>
        </w:rPr>
        <w:t>FINRA Affiliation</w:t>
      </w:r>
      <w:r>
        <w:rPr>
          <w:rFonts w:ascii="Times New Roman" w:cs="Times New Roman" w:eastAsia="Times New Roman" w:hAnsi="Times New Roman"/>
          <w:sz w:val="18"/>
          <w:szCs w:val="18"/>
          <w:color w:val="auto"/>
        </w:rPr>
        <w:t>. There is no (i) officer or director of the Company, (ii) beneficial owner of 10% or more of any class of the Company’s securities or (iii) beneficial owner of the Company’s unregistered equity securities, who acquired any equity securities of the Company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2.20.5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All information provided by the Company in its FINRA questionnaire to Underwriters’ Counsel specifically for use by Underwriters’ Counsel in connection with its Public Offering System filings (and related disclosure) with FINRA is true, correct and complete in all material respects.</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Foreign Corrupt Practices Act</w:t>
      </w:r>
      <w:r>
        <w:rPr>
          <w:rFonts w:ascii="Times New Roman" w:cs="Times New Roman" w:eastAsia="Times New Roman" w:hAnsi="Times New Roman"/>
          <w:sz w:val="17"/>
          <w:szCs w:val="17"/>
          <w:color w:val="auto"/>
        </w:rPr>
        <w:t>. None of the Company and its Subsidiaries or any director, officer, agent, employee or affiliate of the Company or any of its Subsidiaries or any other person acting on behalf of the Company or any of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Entity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w:t>
      </w:r>
    </w:p>
    <w:p>
      <w:pPr>
        <w:spacing w:after="0" w:line="5" w:lineRule="exact"/>
        <w:rPr>
          <w:sz w:val="20"/>
          <w:szCs w:val="20"/>
          <w:color w:val="auto"/>
        </w:rPr>
      </w:pPr>
    </w:p>
    <w:p>
      <w:pPr>
        <w:jc w:val="both"/>
        <w:ind w:right="320" w:firstLine="8"/>
        <w:spacing w:after="0" w:line="255" w:lineRule="auto"/>
        <w:tabs>
          <w:tab w:leader="none" w:pos="26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spacing w:after="0" w:line="18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 None of the Company and its Subsidiaries or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in all material respects with applicable financial recordkeeping and reporting requirements of the Currency and Foreign Transactions Reporting Act of 1970, as amended, including the money laundering Control Act of 1986, as amended, the rules and regulations thereunder and any related or similar money laundering statutes, rules, regulations or guidelines, issued, administered or enforced by any Governmental Entity (collectively,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No action, suit or proceeding by or before any Governmental Entity involving the Company with respect to Money Laundering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pending or threatened, to the best knowledge of the Company.</w:t>
      </w:r>
    </w:p>
    <w:p>
      <w:pPr>
        <w:spacing w:after="0" w:line="187" w:lineRule="exact"/>
        <w:rPr>
          <w:sz w:val="20"/>
          <w:szCs w:val="20"/>
          <w:color w:val="auto"/>
        </w:rPr>
      </w:pPr>
    </w:p>
    <w:p>
      <w:pPr>
        <w:jc w:val="both"/>
        <w:ind w:right="8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Underwriters or to Underwriters’ Counsel on the Closing Date or on the Option Closing Date shall be deemed a representation and warranty by the Company to the Underwriters as to the matters covered thereby.</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contains a complete and accurate list of the Company’s executive officers, directors and holders of more than 5.0% of the Company’s outstanding capital stock, including the Class B Shares Shares(or securities convertible, exchangeable or exercisable into such capital stocks) (collectively, the “</w:t>
      </w:r>
      <w:r>
        <w:rPr>
          <w:rFonts w:ascii="Times New Roman" w:cs="Times New Roman" w:eastAsia="Times New Roman" w:hAnsi="Times New Roman"/>
          <w:sz w:val="18"/>
          <w:szCs w:val="18"/>
          <w:b w:val="1"/>
          <w:bCs w:val="1"/>
          <w:color w:val="auto"/>
        </w:rPr>
        <w:t>Lock-Up Parties</w:t>
      </w:r>
      <w:r>
        <w:rPr>
          <w:rFonts w:ascii="Times New Roman" w:cs="Times New Roman" w:eastAsia="Times New Roman" w:hAnsi="Times New Roman"/>
          <w:sz w:val="18"/>
          <w:szCs w:val="18"/>
          <w:color w:val="auto"/>
        </w:rPr>
        <w:t xml:space="preserve">”). The Company has caused each of the Lock-Up Parties to deliver to the Underwriters an executed Lock-Up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prior to the execution of this Agreement.</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direct and indirect Subsidiaries is duly organized or incorporated as applicable and in good standing under the laws of its jurisdiction of organization or incorporation, and each such Subsidiary is in good standing in each jurisdiction in which its ownership or lease of property or the conduct of business requires such qualification, except where the failure to qualify would not have a Material Adverse Change on the assets, business or operations of the Company and its Subsidiaries taken as a whole. The Company’s ownership and control of each Subsidiary is as described in the Registration Statement, the Pricing Disclosure Package and the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2.27.1 </w:t>
      </w:r>
      <w:r>
        <w:rPr>
          <w:rFonts w:ascii="Times New Roman" w:cs="Times New Roman" w:eastAsia="Times New Roman" w:hAnsi="Times New Roman"/>
          <w:sz w:val="18"/>
          <w:szCs w:val="18"/>
          <w:u w:val="single" w:color="auto"/>
          <w:color w:val="auto"/>
        </w:rPr>
        <w:t>Business Relationships</w:t>
      </w:r>
      <w:r>
        <w:rPr>
          <w:rFonts w:ascii="Times New Roman" w:cs="Times New Roman" w:eastAsia="Times New Roman" w:hAnsi="Times New Roman"/>
          <w:sz w:val="18"/>
          <w:szCs w:val="18"/>
          <w:color w:val="auto"/>
        </w:rPr>
        <w:t>. There are no business relationships or related party transactions involving the Company or any other person required to be described in the Registration Statement, the Pricing Disclosure Package and the Prospectus that have not been described as required.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of Directors of the Company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comprised of the persons set forth under the heading of the Pricing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and the Prospectus captioned “Management.” The qualifications of the persons serving as Board members and the overall composition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comply with the Exchange Act, the Exchange Act Regulations, the Sarbanes-Oxley Act of 2002 and the rules promulgated thereunder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applicable to the Company and the listing rules of the Exchange. At least one member of the Audit Committee of the Board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qualifies as an “audit committee financial expert,” as such term is defined under Regulation S-K and the listing rules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In addition, at least a majority of the persons serving on the Board qualify as “independent,” as defined under the listing rules of the Exchange.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Sarbanes-Oxley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2.29.1 </w:t>
      </w: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has developed disclosure controls and procedures that will comply in all material respects with Rule 13a-15 or 15d-15 under the Exchange Act Regulations, and such controls and procedures will be effective to ensure that all material information concerning the Company will be made known on a timely basis to the individuals responsible for the preparation of the Company’s Exchange Act filings and other public disclosure documents.</w:t>
      </w:r>
    </w:p>
    <w:p>
      <w:pPr>
        <w:spacing w:after="0" w:line="180"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2.29.2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is, and, at the Applicable Time and on the Closing Date, will be in material compliance with the provisions of the Sarbanes-Oxley Act applicable to it, and has implemented or will implement such programs and has taken reasonable steps to ensure the Company’s future compliance (not later than the relevant statutory and regulatory deadlines therefor) with all of the material provisions of the Sarbanes-Oxley Act.</w:t>
      </w:r>
    </w:p>
    <w:p>
      <w:pPr>
        <w:spacing w:after="0" w:line="18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and its Subsidiaries are in the process of establishing systems of “internal control over financial reporting” (as defined under Rules 13a-15 and 15d-15 under the Exchange Act Regulations) that will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No Investment Company Status</w:t>
      </w:r>
      <w:r>
        <w:rPr>
          <w:rFonts w:ascii="Times New Roman" w:cs="Times New Roman" w:eastAsia="Times New Roman" w:hAnsi="Times New Roman"/>
          <w:sz w:val="18"/>
          <w:szCs w:val="18"/>
          <w:color w:val="auto"/>
        </w:rPr>
        <w:t>. The Company is not and, after giving effect to the Offering and the application of the net proceeds thereof as described in the Registration Statement, the Pricing Disclosure Package and the Prospectus, will not be, required to register as an “investment company,” as defined in the Investment Company Act of 1940, as amended.</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labor dispute with the employees of the Company or any of its Subsidiaries exists or, to the best knowledge of the Company, is threatened. The Company is not aware that any key employee or significant group of employees of the Company plans to terminate employment with the Company.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8" w:name="page189"/>
    <w:bookmarkEnd w:id="188"/>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each of its Subsidiaries owns or possesses or has valid rights to use all material patents, patent applications, trademarks, service marks, trade names, trademark registrations, service mark registrations, copyrights, licenses, inventions, trade secrets and similar rights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described in the Registration Statement, the Pricing Disclosure Package and the Prospectus and necessary for the conduct of the business of the Company and each of its Subsidiaries as currently carried on and as described in the Registration Statement, the Pricing Disclosure Package and the Prospectus. Except as may be disclosed in the Registration Statement, the Pricing Disclosure Package and the Prospectus,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Except as may be disclosed in the Registration Statement, the Pricing Disclosure Package and the Prospectus,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(i) there is no infringement, misappropriation or violation by third parties of any of the Intellectual Property Rights owned by the Company; (ii) there is no pending or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(iii) the Intellectual Property Rights owned by the Company and the Intellectual Property Rights licensed to the Company have not been adjudged by a court of competent jurisdiction invalid or unenforceable, in whole or in part, and there is no pending or threatened action, suit, proceeding or claim by other parties challenging the validity or scope of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(iv) there is no pending or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referred to in this Section 2.33, reasonably be expected to result in a Material Adverse Change; and (v) no employee of the Company is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(as defined below),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None of the technology employed by the Company has been obtained or is knowingly being used by the Company in violation of any contractual obligation binding on the Company or any of its officers, directors or employees, or otherwise in violation of the rights of any persons.</w:t>
      </w:r>
    </w:p>
    <w:p>
      <w:pPr>
        <w:spacing w:after="0" w:line="1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the actual knowledge of the Company’s executive officers and members of the Company’s Board of Directors, and the knowledge that each such person would have reasonably obtained in the performance of each such person’s duties as thereto.</w:t>
      </w:r>
    </w:p>
    <w:p>
      <w:pPr>
        <w:spacing w:after="0" w:line="15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Change, each of the Company and its Subsidiaries has: (i) filed all returns (as defined below) required to be filed with taxing authorities prior to the date hereof or has duly obtained extensions of time for the filing thereof; and (ii) paid all taxes shown as due on such returns that were filed and has paid all taxes imposed on or assessed against the Company or any of its Subsidiaries.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 authority in connection with any of the returns or taxes asserted as due from the Company or its Subsidiaries, and (ii) no waivers of statutes of limitation with respect to the returns or collection of taxes have been given by or requested from the Company or its Subsidiaries. There are no tax liens against the assets, properties or business of the Company or its Subsidiaries other than liens for taxes not yet delinquent or being contested in good faith by appropriate proceedings and for which reserves in accordance with GAAP have been established in the Company’s books and records. The term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 w:cs="Times New Roman" w:eastAsia="Times New Roman" w:hAnsi="Times New Roman"/>
          <w:sz w:val="18"/>
          <w:szCs w:val="18"/>
          <w:b w:val="1"/>
          <w:bCs w:val="1"/>
          <w:color w:val="auto"/>
        </w:rPr>
        <w:t>returns</w:t>
      </w:r>
      <w:r>
        <w:rPr>
          <w:rFonts w:ascii="Times New Roman" w:cs="Times New Roman" w:eastAsia="Times New Roman" w:hAnsi="Times New Roman"/>
          <w:sz w:val="18"/>
          <w:szCs w:val="18"/>
          <w:color w:val="auto"/>
        </w:rPr>
        <w:t>” means all returns, declarations, reports, statements and other documents required to be filed in respect to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may be disclosed in the Registration Statement, the Pricing Disclosure Package and the Prospectus, each of the Company and each Subsidiary: (i) is and at all times has been in compliance with all statutes, rules, or regulations applicable to the business of the Company as currently conducted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as could not, individually or in the aggregate, reasonably be expected to have a Material Adverse Change; (ii) has not received any warning letter or other correspondence or notice from any governmental Entity alleging or asserting noncompliance with any Applicable Laws or any Authorizations i; (iii) possesses all material Authorizations and to Company’s the Knowledge,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Entity or third party alleging that any activity conducted by the Company is in violation of any Applicable Laws or Authorizations and no such Governmental Entity or third party is considering any such claim, litigation, arbitration, action, suit, investigation or proceeding; (v) has not received notice that any Governmental Entity has taken, is taking or intends to take action to limit, suspend, modify or revoke any Authorizations and no such Governmental Entity is considering such action; and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From the time of the initial submission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The Company has not (i) alone engaged in any Testing-the-Waters Communications, other than Testing-the-Waters Communications with the written consent of the Underwriters and with entities that are qualified institutional buyers within the meaning of Rule 144A under the Securities Act or institutions that are accredited investors within the meaning of Rule 501 under the Securities Act and (ii) authorized anyone other than the Underwriters to engage in Testing-the-Waters Communications. The Company confirms that the Underwriters have been authorized to act on its behalf in undertaking Testing-the-Waters Communications.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is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except where the failure to comply would not, singularly or in the aggregate, result in a Material Adverse Change. There has been no storage, generation, transportation, handling, treatment, disposal, discharge, emission, or other release of any kind of toxic or other wastes or other hazardous substances by, due to, or caused by the Company (or any other entity for whose acts or omissions the Company is or may otherwise be liable) upon any of the property now or previously owned or leased by the Company,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would not have, singularly or in the aggregate with all such violations and liabilities, a Material Adverse Change; and there has been no disposal, discharge, emission or other release of any kind onto such property or into the environment surrounding such property of any toxic or other wastes or other hazardous substances, except for any such disposal, discharge, emission, or other release of any kind which would not have, singularly or in the aggregate with all such discharges and other releases, a Material Adverse Change.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2.38 </w:t>
      </w: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Except as set forth in the Registration Statement, the Pricing Disclosure Package and the Prospectus, the Company and its 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in any material respect and do not materially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notice of any material claim of any sort that has been asserted by anyone adverse to the rights of the Company or any Subsidiary under any of the leases or subleases mentioned above, or affecting or questioning the rights of the Company or any Subsidiary to the continued possession of the leased or subleased premises under any such lease or sublease, which would, singularly or in the aggregate, result in a Material Adverse Change.</w:t>
      </w:r>
    </w:p>
    <w:p>
      <w:pPr>
        <w:spacing w:after="0" w:line="1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2.39 </w:t>
      </w:r>
      <w:r>
        <w:rPr>
          <w:rFonts w:ascii="Times New Roman" w:cs="Times New Roman" w:eastAsia="Times New Roman" w:hAnsi="Times New Roman"/>
          <w:sz w:val="18"/>
          <w:szCs w:val="18"/>
          <w:u w:val="single" w:color="auto"/>
          <w:color w:val="auto"/>
        </w:rPr>
        <w:t>Contracts Affecting Capital</w:t>
      </w:r>
      <w:r>
        <w:rPr>
          <w:rFonts w:ascii="Times New Roman" w:cs="Times New Roman" w:eastAsia="Times New Roman" w:hAnsi="Times New Roman"/>
          <w:sz w:val="18"/>
          <w:szCs w:val="18"/>
          <w:color w:val="auto"/>
        </w:rPr>
        <w:t>. There are no transactions, arrangements or other relationships between and/or among the Company, any of its affiliates (as such term is defined in Rule 405 under the Securities Act)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2.40. </w:t>
      </w:r>
      <w:r>
        <w:rPr>
          <w:rFonts w:ascii="Times New Roman" w:cs="Times New Roman" w:eastAsia="Times New Roman" w:hAnsi="Times New Roman"/>
          <w:sz w:val="18"/>
          <w:szCs w:val="18"/>
          <w:u w:val="single" w:color="auto"/>
          <w:color w:val="auto"/>
        </w:rPr>
        <w:t>Loans to Directors or Officers</w:t>
      </w:r>
      <w:r>
        <w:rPr>
          <w:rFonts w:ascii="Times New Roman" w:cs="Times New Roman" w:eastAsia="Times New Roman" w:hAnsi="Times New Roman"/>
          <w:sz w:val="18"/>
          <w:szCs w:val="18"/>
          <w:color w:val="auto"/>
        </w:rPr>
        <w:t>. There are no outstanding loans, advances (except normal advances for business expenses in the ordinary course 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at the Effective Date and at the time of any amendment thereto, at the earliest time thereafter that the Company or the Underwriters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Public Securities and at the Effective Date, the Company was not and is not an “ineligible issuer,” as defined in Rule 405 under the Securities Act, without taking account of any determination by the Commission pursuant to Rule 405 that it is not necessary that the Company be considered an ineligible issuer.</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Smaller Reporting Company</w:t>
      </w:r>
      <w:r>
        <w:rPr>
          <w:rFonts w:ascii="Times New Roman" w:cs="Times New Roman" w:eastAsia="Times New Roman" w:hAnsi="Times New Roman"/>
          <w:sz w:val="18"/>
          <w:szCs w:val="18"/>
          <w:color w:val="auto"/>
        </w:rPr>
        <w:t>. As of the time of filing of the Registration Statement, the Company was a “smaller reporting company,” as defined in Rule 12b-2 of the Exchange Act Regulations.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Industry Data</w:t>
      </w:r>
      <w:r>
        <w:rPr>
          <w:rFonts w:ascii="Times New Roman" w:cs="Times New Roman" w:eastAsia="Times New Roman" w:hAnsi="Times New Roman"/>
          <w:sz w:val="18"/>
          <w:szCs w:val="18"/>
          <w:color w:val="auto"/>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Electronic Road Show</w:t>
      </w:r>
      <w:r>
        <w:rPr>
          <w:rFonts w:ascii="Times New Roman" w:cs="Times New Roman" w:eastAsia="Times New Roman" w:hAnsi="Times New Roman"/>
          <w:sz w:val="18"/>
          <w:szCs w:val="18"/>
          <w:color w:val="auto"/>
        </w:rPr>
        <w:t>. The Company has made available a Bona Fide Electronic Road Show in compliance with Rule 433(d)(8)(ii) of the Securities Act Regulations such that no filing of any “road show” (as defined in Rule 433(h) of the Securities Act Regulations) is required in connection with the Offering.</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u w:val="single" w:color="auto"/>
          <w:color w:val="auto"/>
        </w:rPr>
        <w:t>Margin Securities</w:t>
      </w:r>
      <w:r>
        <w:rPr>
          <w:rFonts w:ascii="Times New Roman" w:cs="Times New Roman" w:eastAsia="Times New Roman" w:hAnsi="Times New Roman"/>
          <w:sz w:val="18"/>
          <w:szCs w:val="18"/>
          <w:color w:val="auto"/>
        </w:rPr>
        <w:t>. The Company owns no “margin securities” as such term is defined in Regulation U of the Board of Governors of the Federal Reserve System (the “</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Firm Shares to be considered a “purpose credit” within the meanings of Regulation T, U or X of the Federal Reserve Board.</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Except as disclosed in the Pricing Disclosure Package, Registration Statement and the Prospectus, no Subsidiary 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2.47.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2.48.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2.49. </w:t>
      </w:r>
      <w:r>
        <w:rPr>
          <w:rFonts w:ascii="Times New Roman" w:cs="Times New Roman" w:eastAsia="Times New Roman" w:hAnsi="Times New Roman"/>
          <w:sz w:val="18"/>
          <w:szCs w:val="18"/>
          <w:u w:val="single" w:color="auto"/>
          <w:color w:val="auto"/>
        </w:rPr>
        <w:t>Confidentiality and Non-Competition</w:t>
      </w:r>
      <w:r>
        <w:rPr>
          <w:rFonts w:ascii="Times New Roman" w:cs="Times New Roman" w:eastAsia="Times New Roman" w:hAnsi="Times New Roman"/>
          <w:sz w:val="18"/>
          <w:szCs w:val="18"/>
          <w:color w:val="auto"/>
        </w:rPr>
        <w:t>. To the Company’s Knowledge, no director or executive officer of the Company or any Subsidiary is subject to any confidentiality, non-disclosure, non-competition agreement or non-solicitation agreement with any employer (other than the Company or its Subsidiary, as applicable) or prior employer that could materially affect his or her ability to be and act in his or her respective capacity of the Company or such Subsidiary or reasonably be expected to result in a Material Adverse Change.</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2.50.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minute books of the Company have been made available to the Underwriters and Underwriters’ Counsel and such books (i) contain minutes of all material meetings and actions of the Board and stockholders of the Company, and (ii) reflect all material transactions referred to in such minutes.</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Diligence Materials</w:t>
      </w:r>
      <w:r>
        <w:rPr>
          <w:rFonts w:ascii="Times New Roman" w:cs="Times New Roman" w:eastAsia="Times New Roman" w:hAnsi="Times New Roman"/>
          <w:sz w:val="18"/>
          <w:szCs w:val="18"/>
          <w:color w:val="auto"/>
        </w:rPr>
        <w:t>. The Company has provided to the Underwriters and Underwriters’ Counsel all materials reasonably required or necessary to respond in all material respects to the diligence request submitted to the Company or Underwriters’ Counsel.</w:t>
      </w: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2" w:name="page193"/>
    <w:bookmarkEnd w:id="192"/>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any of its employees, directors or stockholders (without the consent of the Underwriters) has taken,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176" w:lineRule="exact"/>
        <w:rPr>
          <w:sz w:val="20"/>
          <w:szCs w:val="20"/>
          <w:color w:val="auto"/>
        </w:rPr>
      </w:pPr>
    </w:p>
    <w:p>
      <w:pPr>
        <w:ind w:left="400" w:hanging="392"/>
        <w:spacing w:after="0"/>
        <w:tabs>
          <w:tab w:leader="none" w:pos="4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as follows: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Amendments to Registration Statement</w:t>
      </w:r>
      <w:r>
        <w:rPr>
          <w:rFonts w:ascii="Times New Roman" w:cs="Times New Roman" w:eastAsia="Times New Roman" w:hAnsi="Times New Roman"/>
          <w:sz w:val="18"/>
          <w:szCs w:val="18"/>
          <w:color w:val="auto"/>
        </w:rPr>
        <w:t>. The Company shall deliver to the Underwriters, prior to filing, any amendment or supplement to the Registration Statement or Prospectus proposed to be filed after the Effective Date and not file any such amendment or supplement to which the Underwriters shall reasonably object in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3.2.1. (a)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financial statements of the Company included in the Registration Statement, the Pricing Disclosure Package and the Prospectus comply in all material respects with applicable accounting requirements and the rules and regulations of the Commission with respect thereto as in effect at the time of filing. Such financial statements have been prepared in accordance with United States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Pricing Disclosure Package and the Prospectus, conform in all material aspects to the descriptions thereof contained therein and there are no agreements or other documents required by the Securities Act and the rules and regulations thereunder to be described in the Registration Statement, the Pricing Disclosure Package, the Prospectus or to be filed with the Commission as exhibits to the Registration Statement, that have not been so described or filed. Each agreement or other instrument (however characterized or described) to which the Company or a Subsidiary is a party or by which it or such Subsidiary is or may be bound or affected and (i) that is referred to in the Registration Statement, the Pricing Disclosure Package, the Prospectus or (ii) is material to the Company’s business, has been duly authorized and validly executed by the Company or a Subsidiary, respectively, is in full force and effect in all material respects and is enforceable against the Company or such Subsidiary,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Except as described in the Registration Statement, none of such agreements or instruments has been assigned by the Company or a Subsidiary, and neither the Company nor a Subsidiary or to the best knowledge of the Company or such Subsidiary as applicable any other party is in default thereunder and no event has occurred that, with the lapse of time or the giving of notice, or both, would constitute a default thereunder, except, in each case, for those defaults which (individually or in the aggregate) would not have or reasonably be expected to result in a Material Adverse Change. Performance by the Company or a Subsidiary of the material provisions of such agreements or instruments will not result in a violation of any existing applicable law, rule, regulation, judgment, order, or decree of any governmental agency or court, domestic or foreign, having jurisdiction over the Company, a Subsidiary, or any of their assets or businesses, including, without limitation, those relating to Environmental Laws and regulations, except, in each case, for those violations which (individually or in the aggregate) would not have or reasonably be expected to result in a Material Adverse Change.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3" w:name="page194"/>
    <w:bookmarkEnd w:id="193"/>
    <w:p>
      <w:pPr>
        <w:ind w:right="60" w:firstLine="1304"/>
        <w:spacing w:after="0" w:line="269" w:lineRule="auto"/>
        <w:tabs>
          <w:tab w:leader="none" w:pos="1551"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The Company, subject to Section 3.2.2, shall comply in all material respects with the requirements of Rule 430A of the Securities Act Regulations, and will notify the Underwriters on the same calendar day, and confirm the notice in writing, (i) when any post-effective amendment to the Registration Statement shall become effective or any amendment or supplement to the Prospectus shall have been filed; (ii) of its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for offering or sale in any jurisdiction, or of the initiation or threat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Public Securities. The Company shall effect all filings required under Rule 424(b) of the Securities Act Regulations, in the manner and within the time period required by Rule 424(b), and shall take such steps as it deems necessary to ascertain promptly whether the form of prospectus transmitted for filing under Rule 424(b) was received for filing by the Commission and, in the event that it was not, it will promptly file such prospectus. The Company shall prevent the issuance of any stop order, prevention or suspension and, if any such order is issued, to obtain the lifting thereof at the earliest possible moment.</w:t>
      </w:r>
    </w:p>
    <w:p>
      <w:pPr>
        <w:spacing w:after="0" w:line="17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Continued Compliance</w:t>
      </w:r>
      <w:r>
        <w:rPr>
          <w:rFonts w:ascii="Times New Roman" w:cs="Times New Roman" w:eastAsia="Times New Roman" w:hAnsi="Times New Roman"/>
          <w:sz w:val="18"/>
          <w:szCs w:val="18"/>
          <w:color w:val="auto"/>
        </w:rPr>
        <w:t>. The Company shall comply in all material respects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w:t>
      </w:r>
      <w:r>
        <w:rPr>
          <w:rFonts w:ascii="Times New Roman" w:cs="Times New Roman" w:eastAsia="Times New Roman" w:hAnsi="Times New Roman"/>
          <w:sz w:val="18"/>
          <w:szCs w:val="18"/>
          <w:b w:val="1"/>
          <w:bCs w:val="1"/>
          <w:color w:val="auto"/>
        </w:rPr>
        <w:t>Rule 172</w:t>
      </w:r>
      <w:r>
        <w:rPr>
          <w:rFonts w:ascii="Times New Roman" w:cs="Times New Roman" w:eastAsia="Times New Roman" w:hAnsi="Times New Roman"/>
          <w:sz w:val="18"/>
          <w:szCs w:val="18"/>
          <w:color w:val="auto"/>
        </w:rPr>
        <w:t>”), would be) required by the Securities Act to be delivered in connection with sales of the Public Securities, any event shall occur or condition shall exist as a result of which it is necessary, in the opinion of counsel to the Company or Underwriters’ Counsel,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3" w:lineRule="exact"/>
        <w:rPr>
          <w:sz w:val="20"/>
          <w:szCs w:val="20"/>
          <w:color w:val="auto"/>
        </w:rPr>
      </w:pPr>
    </w:p>
    <w:p>
      <w:pPr>
        <w:ind w:right="20" w:firstLine="8"/>
        <w:spacing w:after="0" w:line="250" w:lineRule="auto"/>
        <w:tabs>
          <w:tab w:leader="none" w:pos="26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within the same calendar day, (i) give the Underwriters notice of such event; (ii) prepare any amendment or supplement as may be necessary to correct such statement or omission or to make the Registration Statement, the Pricing Disclosure Package or the Prospectus comply with the requirements of the Securities Act, the Securities Act Regulations, the Exchange Act and the Exchange Act Regulations and, within at least three</w:t>
      </w:r>
    </w:p>
    <w:p>
      <w:pPr>
        <w:spacing w:after="0" w:line="2"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prior to any proposed filing or use, furnish the Underwriters with copies of any such amendment or supplement and (iii) file with the Commission any such amendment or supplement;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not file or use any such amendment or supplement to which the Underwriters or Underwriters’ Counsel shall object. The Company will furnish to the Underwriters such number of copies of such amendment or supplement as the Underwriters may request. The Company will give the Underwriters notice of any filings made pursuant to the Exchange Act or the Exchange Act Regulations within at least three (3) Business Days prior to the Applicable Time. The Company shall give the Underwriters notice of its intention to make any such filing from the Applicable Time until the Closing Date and the exercise in full or expiration of the Over-allotment Option specified in Section 1.2 hereof and will furnish the Underwriters with copies of the related document(s) within at least three (3) Business Days prior to such proposed filing, as the case may be, and will not file or use any such document to which the Underwriters or Underwriters’ Counsel shall object.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4" w:name="page195"/>
    <w:bookmarkEnd w:id="194"/>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shall maintain the registration of the Public Securities under the Exchange Act (except in connection with a going-private transaction) for a period of three years from the Effective Date, or until the Company is liquidated or is acquired, if earlier. For a period of three years from the Effective Date, the Company shall not deregister any of the Public Securities under the Exchange Act without prior notice to the Underwriters.</w:t>
      </w:r>
    </w:p>
    <w:p>
      <w:pPr>
        <w:spacing w:after="0" w:line="180"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xml:space="preserve">. The Company agrees that, unless it obtains the prior written consent of the Underwriters, it shall not make any offer relating to the Public Securities that would constitute an Issuer Free Writing Prospectus or that would otherwise constitute a “free writing prospectus,” or a portion thereof, required to be filed by the Company with the Commission or retained by the Company under Rule 433;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Underwriters shall be deemed to have consented to each Issuer General Use Free Writing Prospectus set forth in </w:t>
      </w:r>
      <w:r>
        <w:rPr>
          <w:rFonts w:ascii="Times New Roman" w:cs="Times New Roman" w:eastAsia="Times New Roman" w:hAnsi="Times New Roman"/>
          <w:sz w:val="18"/>
          <w:szCs w:val="18"/>
          <w:u w:val="single" w:color="auto"/>
          <w:color w:val="auto"/>
        </w:rPr>
        <w:t>Schedule 2-B</w:t>
      </w:r>
      <w:r>
        <w:rPr>
          <w:rFonts w:ascii="Times New Roman" w:cs="Times New Roman" w:eastAsia="Times New Roman" w:hAnsi="Times New Roman"/>
          <w:sz w:val="18"/>
          <w:szCs w:val="18"/>
          <w:color w:val="auto"/>
        </w:rPr>
        <w:t>.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190"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Testing-the-Waters Communications</w:t>
      </w:r>
      <w:r>
        <w:rPr>
          <w:rFonts w:ascii="Times New Roman" w:cs="Times New Roman" w:eastAsia="Times New Roman" w:hAnsi="Times New Roman"/>
          <w:sz w:val="18"/>
          <w:szCs w:val="18"/>
          <w:color w:val="auto"/>
        </w:rPr>
        <w:t>. If at any time following the distribution of any Testing-the-Waters Communication that is a written communication within the meaning of Rule 405 of the Securities Act Regulations (a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Underwriters and shall promptly amend or supplement, at its own expense, such Written Testing-the-Waters Communication to eliminate or correct such untrue statement or omission.</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Delivery to the Underwriters of Registration Statements</w:t>
      </w:r>
      <w:r>
        <w:rPr>
          <w:rFonts w:ascii="Times New Roman" w:cs="Times New Roman" w:eastAsia="Times New Roman" w:hAnsi="Times New Roman"/>
          <w:sz w:val="18"/>
          <w:szCs w:val="18"/>
          <w:color w:val="auto"/>
        </w:rPr>
        <w:t>. The Company has delivered or made available or shall deliver or make available to the Underwriters and Underwriters’ Counsel, without charge, signed copies of the Registration Statement as originally filed and each amendment thereto (including exhibits filed therewith) and signed copies of all consents and certificates of experts, and will also deliver to the Underwriters and/or Underwriters’ Counsel, without charge, a conformed copy of the Registration Statement as originally filed and each amendment thereto (without exhibits) upon receipt of a written request therefor from Underwriters and/or Underwriters’ Counsel (as applicable). The copies of the Registration Statement and each amendment thereto furnished to the Underwriters and/or Underwriters’ Counsel will be identical to the electronically transmitted copies thereof filed with the Commission pursuant to EDGAR, except to the extent permitted by Regulation S-T.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Delivery to the Underwriters of Prospectuses</w:t>
      </w:r>
      <w:r>
        <w:rPr>
          <w:rFonts w:ascii="Times New Roman" w:cs="Times New Roman" w:eastAsia="Times New Roman" w:hAnsi="Times New Roman"/>
          <w:sz w:val="18"/>
          <w:szCs w:val="18"/>
          <w:color w:val="auto"/>
        </w:rPr>
        <w:t>. The Company has delivered or made available or will deliver or make available to the Underwriters, without charge, as many copies of each Preliminary Prospectus as the Underwriters reasonably requested, and the Company hereby consents to the use of such copies for purposes permitted by the Securities Act. The Company will furnish to the Underwriters and/or Underwriters’ Counsel, without charge, during the period when a prospectus relating to the Public Securities is (or, but for the exception afforded by Rule 172 of the Securities Act Regulations, would be) required to be delivered under the Securities Act, such number of copies of the Prospectus (as amended or supplemented) as the Underwriters and/or Underwriters’ Counsel (as applicable) may reasonably request. The Prospectus and any amendments or supplements thereto furnished to the Underwriters and/or Underwriters’ Counsel will be identical to the electronically transmitted copies thereof filed with the Commission pursuant to EDGAR, except to the extent permitted by Regulation S-T.</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5" w:name="page196"/>
    <w:bookmarkEnd w:id="195"/>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Effectiveness and Events Requiring Notice to the Underwriters</w:t>
      </w:r>
      <w:r>
        <w:rPr>
          <w:rFonts w:ascii="Times New Roman" w:cs="Times New Roman" w:eastAsia="Times New Roman" w:hAnsi="Times New Roman"/>
          <w:sz w:val="18"/>
          <w:szCs w:val="18"/>
          <w:color w:val="auto"/>
        </w:rPr>
        <w:t>. The Company shall use its commercially reasonable efforts to cause the Registration Statement to remain effective with a current prospectus for at least nine (9) months after the Applicable Time, and shall notify the Underwriters promptly and confirm the notice in writing of: (i) the effectiveness of the Registration Statement and any amendment thereto; (ii) the issuance by the Commission of any stop order or of the initiation, or the threatening, of any proceeding for that purpose; (iii) the issuance by any state securities commission of any proceedings for the suspension of the qualification of the Public Securities for offering or sale in any jurisdiction or of the initiation, or the threatening, of any proceeding for that purpose; (iv) the mailing and delivery to the Commission for filing of any amendment or supplement to the Registration Statement or Prospectus; (v) the receipt of any comments or request for any additional information from the Commission; and (vi) the occurrence of any event during the period described in this Section 3.5 that, in the reasonable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the light of the circumstances under which they were made, not misleading. If the Commission or any state securities commission shall enter a stop order or suspend such qualification at any time, the Company shall promptly obtain the lifting of such order.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Consideration; Payment of Expenses.</w:t>
      </w:r>
      <w:r>
        <w:rPr>
          <w:rFonts w:ascii="Times New Roman" w:cs="Times New Roman" w:eastAsia="Times New Roman" w:hAnsi="Times New Roman"/>
          <w:sz w:val="18"/>
          <w:szCs w:val="18"/>
          <w:color w:val="auto"/>
        </w:rPr>
        <w:t xml:space="preserve"> In consideration of the services provided by the Underwriters pursuant to in this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shall afford to the Underwriters or its respective designees, if any,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Firm Shares purchased in this Offering)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as follows: (a) an underwriting discount equal to seven percent (7%) of the gross proceeds of the securities being offered and sold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(an “</w:t>
      </w:r>
      <w:r>
        <w:rPr>
          <w:rFonts w:ascii="Times New Roman" w:cs="Times New Roman" w:eastAsia="Times New Roman" w:hAnsi="Times New Roman"/>
          <w:sz w:val="18"/>
          <w:szCs w:val="18"/>
          <w:b w:val="1"/>
          <w:bCs w:val="1"/>
          <w:color w:val="auto"/>
        </w:rPr>
        <w:t>Underwriting Discount</w:t>
      </w:r>
      <w:r>
        <w:rPr>
          <w:rFonts w:ascii="Times New Roman" w:cs="Times New Roman" w:eastAsia="Times New Roman" w:hAnsi="Times New Roman"/>
          <w:sz w:val="18"/>
          <w:szCs w:val="18"/>
          <w:color w:val="auto"/>
        </w:rPr>
        <w:t>”) and the Underwriters may in its discretion apportion such Underwriting Discount in whole or in part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dealer engaged by the Underwriters in connection with the Offering; (b) a non-accountable expense allowance of one percent (1%) of the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the Offering (the “</w:t>
      </w:r>
      <w:r>
        <w:rPr>
          <w:rFonts w:ascii="Times New Roman" w:cs="Times New Roman" w:eastAsia="Times New Roman" w:hAnsi="Times New Roman"/>
          <w:sz w:val="18"/>
          <w:szCs w:val="18"/>
          <w:b w:val="1"/>
          <w:bCs w:val="1"/>
          <w:color w:val="auto"/>
        </w:rPr>
        <w:t>Non-Accountable Expense Allowance</w:t>
      </w:r>
      <w:r>
        <w:rPr>
          <w:rFonts w:ascii="Times New Roman" w:cs="Times New Roman" w:eastAsia="Times New Roman" w:hAnsi="Times New Roman"/>
          <w:sz w:val="18"/>
          <w:szCs w:val="18"/>
          <w:color w:val="auto"/>
        </w:rPr>
        <w:t>”); (c) an accountable expense allowance of up to US$250,000, including but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to reasonable and documented travel, legal fees, due diligence fees, and other expenses and disbursements, incurred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services for the purpose of the Offering, regardless of whether the Offering is successfully closed or not, provided that any expense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shall require prior approval of the Company; (d) the Underwriters reserves the right to reduce any item of compensation or adjust the terms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herein in the event that a determination shall be made by FINRA to the effect that the Underwriters’ aggregate compensation is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rules or that the terms thereof require adjustment; (e) whether or not the transactions contemplated by this Agreement,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Prospectus are consummated or this Agreement is terminated, the Company hereby agrees to pay the Underwriters the following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and accountable out-of-pocket expenses: (i) the costs of preparing, printing and filing the registration statement with the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and supplements thereto, and post-effective amendments, filing with FINRA and payment of all necessary fees in connection therewith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printing of a sufficient quantity of preliminary and final prospectuses as the Underwriters may reasonably request; (ii) the costs of preparing, printing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delivering exhibits to the documents set forth in clause (i) of this Section 3.6, in such quantities as the Underwriters may reasonably request; (iii)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expenses and disbursements relating to the registration, qualification or exemption of the Public Securities under the securities laws of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designated by the Underwriters; (iv) fees of counsel and accountants for the Company, including fees associated with any blue sky filings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applicable; (v) fees associated with the Company’s transfer agent; and (vi) fees, if necessary, associated with translation services.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upon presentation of relevant supporting documents (e.g. invoices and receipts), deduct from the net proceeds of the Offering payable to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or the Option Closing Date, if any, the expenses set forth in this Section 3.6 to be paid by the Company to the Underwriters.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The Company and the Underwriters agree that the Underwriters shall have an irrevocable right of first refusal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for a period of nine (9) months from the date the Offering is completed, to provide investment banking services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 exclusive basis in all matters for which investment banking services are sought by the Company on terms that are the same or more favorable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comparing to terms offered to the Company by other Underwriters or placement agents, which right is exercisable at the Underwriters’ sole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discretion. For these purposes, investment banking services shall include, without limitation, (a) acting as the lead manager for any underwritten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and (b) acting as the exclusive placement agent or initial purchaser in connection with any private offering of securities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however, that such right shall be subject to FINRA Rule 5110(g). The Underwriters shall notify the Company of its intention to exercise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First Refusal under this Section 3.7 within fifteen (15) business dates following the receipt of the Company’s written notification of its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needs. Any decision by the Underwriters to act in any such capacity shall be contained in separate agreements, which agreements would contain,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matters, provisions for customary fees for transactions of similar size and nature, as may be mutually agreed upon, and indemnification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and shall be subject to general market conditions. If the Underwriters decline to exercise the Right of First Refusal or is unable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or more favorable terms to the Company under reasonable standard, the Company shall have the right to retain any other person or persons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 terms and conditions which are not more favorable to such other person or persons than the terms declined by the Underwriters.</w:t>
      </w:r>
    </w:p>
    <w:p>
      <w:pPr>
        <w:spacing w:after="0" w:line="207"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Application of Net Proceeds</w:t>
      </w:r>
      <w:r>
        <w:rPr>
          <w:rFonts w:ascii="Times New Roman" w:cs="Times New Roman" w:eastAsia="Times New Roman" w:hAnsi="Times New Roman"/>
          <w:sz w:val="17"/>
          <w:szCs w:val="17"/>
          <w:color w:val="auto"/>
        </w:rPr>
        <w:t>. The Company shall apply the net proceeds from the Offering received by it in a manner consistent with the application thereof described under the caption “Use of Proceeds” in the Registration Statement, the Pricing Disclosure Package and the Prospectus.</w:t>
      </w:r>
    </w:p>
    <w:p>
      <w:pPr>
        <w:spacing w:after="0" w:line="14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Delivery of Earnings Statements to Security Holder</w:t>
      </w:r>
      <w:r>
        <w:rPr>
          <w:rFonts w:ascii="Times New Roman" w:cs="Times New Roman" w:eastAsia="Times New Roman" w:hAnsi="Times New Roman"/>
          <w:sz w:val="18"/>
          <w:szCs w:val="18"/>
          <w:color w:val="auto"/>
        </w:rPr>
        <w:t>s. The Company shall make generally available to its security holders as soon as practicable an earnings statement (which need not be certified by an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Stabilizatio</w:t>
      </w:r>
      <w:r>
        <w:rPr>
          <w:rFonts w:ascii="Times New Roman" w:cs="Times New Roman" w:eastAsia="Times New Roman" w:hAnsi="Times New Roman"/>
          <w:sz w:val="18"/>
          <w:szCs w:val="18"/>
          <w:color w:val="auto"/>
        </w:rPr>
        <w:t>n. Neither the Company nor any of its employees, directors or stockholders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Internal Control</w:t>
      </w:r>
      <w:r>
        <w:rPr>
          <w:rFonts w:ascii="Times New Roman" w:cs="Times New Roman" w:eastAsia="Times New Roman" w:hAnsi="Times New Roman"/>
          <w:sz w:val="18"/>
          <w:szCs w:val="18"/>
          <w:color w:val="auto"/>
        </w:rPr>
        <w:t>s. The Company shall maintain a system of internal accounting controls sufficient to provide reasonable assurances that: (i) the Company’s transactions are executed in accordance with management’s general or specific authorization; (ii) the Company’s transactions are recorded as necessary in order to permit preparation of financial statements in accordance with GAAP and to maintain accountability for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For a period of 60 days from the later of the Closing Date or the Option Closing Date, the Company shall advise the Underwriters (who shall make an appropriate filing with FINRA) if it is or becomes aware that (i) any officer or director of the Company, (ii) any beneficial owner of 10%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spacing w:after="0" w:line="1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No Fiduciary Duties</w:t>
      </w:r>
      <w:r>
        <w:rPr>
          <w:rFonts w:ascii="Times New Roman" w:cs="Times New Roman" w:eastAsia="Times New Roman" w:hAnsi="Times New Roman"/>
          <w:sz w:val="18"/>
          <w:szCs w:val="18"/>
          <w:color w:val="auto"/>
        </w:rPr>
        <w:t>. The Company acknowledges and agrees that the Underwriters’ responsibility to the Company is solely contractual in 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3.14.1. </w:t>
      </w:r>
      <w:r>
        <w:rPr>
          <w:rFonts w:ascii="Times New Roman" w:cs="Times New Roman" w:eastAsia="Times New Roman" w:hAnsi="Times New Roman"/>
          <w:sz w:val="18"/>
          <w:szCs w:val="18"/>
          <w:u w:val="single" w:color="auto"/>
          <w:color w:val="auto"/>
        </w:rPr>
        <w:t>Restriction on Sales of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55" w:lineRule="auto"/>
        <w:tabs>
          <w:tab w:leader="none" w:pos="15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Company’s officers, directors, and holders of more than 5.0% of capital stock of the Company as set forth in the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including the Class B Shares, or any securities convertible into or exercisable or exchangeable for such securities or capital stock (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agreed pursuant to executed Lock-Up Agreements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a period of six (6)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Offering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such persons and their affiliated parties shall not offer, pledge, sell, contract to sell, grant, lend or otherwise transfer or dispose of, directly or indirectly, any securities or shares of the Company, including Class B Shares, or any securities convertible into or exercisable or exchangeable for such securities or capital stock of the Company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without the prior written consent of the Underwriters.</w:t>
      </w:r>
    </w:p>
    <w:p>
      <w:pPr>
        <w:spacing w:after="0" w:line="188" w:lineRule="exact"/>
        <w:rPr>
          <w:rFonts w:ascii="Times New Roman" w:cs="Times New Roman" w:eastAsia="Times New Roman" w:hAnsi="Times New Roman"/>
          <w:sz w:val="18"/>
          <w:szCs w:val="18"/>
          <w:color w:val="auto"/>
        </w:rPr>
      </w:pPr>
    </w:p>
    <w:p>
      <w:pPr>
        <w:ind w:right="20" w:firstLine="1304"/>
        <w:spacing w:after="0" w:line="253" w:lineRule="auto"/>
        <w:tabs>
          <w:tab w:leader="none" w:pos="15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any successor entity, agrees that, without the prior written consent of the Underwriters, it will not, for a period of three (3) months days after the date of the Offering and each of the Company any successors of the Company will not, for a period of three (3) months after the closing date of the Offering,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Lock-up Securities; (iii) complete any offering of debt securities of the Company without notice to the Underwriters, other than entering into a line of credit or senior credit facility with a traditional bank or other lending institution,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w:t>
      </w:r>
    </w:p>
    <w:p>
      <w:pPr>
        <w:spacing w:after="0" w:line="194"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The restrictions contained in this Section 3.14.1(ii) shall not apply to (i) the Public Securities to be sold hereunder, (ii) the issuance by the Company of shares of capital stock upon the exercise of an outstanding stock option or warrant or the conversion of a security outstanding on the date hereof, of which the Underwriters has been advised in writing, (iii) the issuance by the Company of any security under any equity compensation plan of the Company or (iv) any issuance of securities disclosed in the Registration Statement, the Pricing Disclosure Package or the Prospectus.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 from Lock-Up Agreements</w:t>
      </w:r>
      <w:r>
        <w:rPr>
          <w:rFonts w:ascii="Times New Roman" w:cs="Times New Roman" w:eastAsia="Times New Roman" w:hAnsi="Times New Roman"/>
          <w:sz w:val="18"/>
          <w:szCs w:val="18"/>
          <w:color w:val="auto"/>
        </w:rPr>
        <w:t xml:space="preserve">. If the Underwriters, in its sole discretion, agrees to release or waive the restrictions set forth in the Lock-Up Agreements described in Section 2.25 hereof for a Lock-Up Party and provides the Company with notice of the impending release or waiver at least two (2) Business Days before the effective date of the release or waiver, the Company agrees to announce the impending release or waiver by a press release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through a major news service at least two (2) Business Days before the effective date of the release or waiver. The provisions of this Section 3.15 shall not apply if (i) the release or waiver is effected solely to permit a transfer of Lock-Up Securities not for consideration and (ii) the transferee has agreed in writing to be bound by the same terms described in the lock-up agreement to the extent and for the duration that such terms remain in effect at the time of such transfer.</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Blue Sky Qualifications</w:t>
      </w:r>
      <w:r>
        <w:rPr>
          <w:rFonts w:ascii="Times New Roman" w:cs="Times New Roman" w:eastAsia="Times New Roman" w:hAnsi="Times New Roman"/>
          <w:sz w:val="18"/>
          <w:szCs w:val="18"/>
          <w:color w:val="auto"/>
        </w:rPr>
        <w:t xml:space="preserve">. The Company shall, in cooperation with the Underwriters, if necessary, qualify the Public Securities for offering and sale under the applicable securities laws of such states and other jurisdictions (domestic or foreign) as the Underwriters may designate and to maintain such qualifications in effect so long as required to complete the distribution of the Public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Public Securities as may be required under Rule 463 under the Securities Act Regulations.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shall promptly notify the Underwriters if the Company ceases to be an Emerging Growth Company at any time prior to the later of (i) completion of the distribution of the Public Securities within the meaning of the Securities Act and (ii) fifteen (15) days following the end of the Lock-Up Period.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Except to the extent required by applicable law, rule, or regulation (including an Exchange rule or regulation), the Company shall not issue any press release or other communication directly or indirectly or hold any press conference from January 9, 2024 to a period of forty (40) days from the earlier to occur of (i) the termination of the Engagement Letter between the Parties dated January 9, 2024 (the “</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or end of the Engagement Period or (ii) the closing date of the Offering, such press conference with respect to: (i) the Offering or (i) the Company, its condition, financial or otherwise, or earnings, business affairs or business prospects (except for routine oral marketing communications in the ordinary course of business and consistent with the past practices of the Company and of which the Underwriters is notified), without the prior written consent of the Underwriters.</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shall at all times comply in all material respects with all applicable provisions of the Sarbanes-Oxley Act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8"/>
        <w:spacing w:after="0" w:line="261" w:lineRule="auto"/>
        <w:tabs>
          <w:tab w:leader="none" w:pos="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Underwriters to purchase and pay for the Public Securities,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obligations hereunder; and (iv) the following conditions: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Effectiveness of Registration Statement; Rule 430A Information</w:t>
      </w:r>
      <w:r>
        <w:rPr>
          <w:rFonts w:ascii="Times New Roman" w:cs="Times New Roman" w:eastAsia="Times New Roman" w:hAnsi="Times New Roman"/>
          <w:sz w:val="18"/>
          <w:szCs w:val="18"/>
          <w:color w:val="auto"/>
        </w:rPr>
        <w:t>. The Registration Statement shall become effective not later than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5:30 p.m., Eastern time, on the date of this Agreement or such later date and time as shall be consented to in writing by the Underwriters, and, at each of the Closing Date and any Option Closing Date, no stop order suspending the effectiveness of the Registration Statement or any post-effective amendment thereto shall have been issued by the Commission under the Securities Act, no order preventing or suspending the use of any Preliminary Prospectus or the Prospectus shall have been issued and no proceedings for any of those purposes shall have been instituted or are pending or, to the Company’s knowledge, contemplated by the Commission. The Company has complied with each request (if any) from the Commission for additional information. A prospectus containing the Rule 430A Information shall have been filed with the Commission in the manner and within the time frame required by Rule 424(b) under the Securities Act Regulations or a post-effective amendment providing such information shall have been filed with, and declared effective by, the Commission in accordance with the requirements of Rule 430A under the Securities Act Regulations.</w:t>
      </w:r>
    </w:p>
    <w:p>
      <w:pPr>
        <w:spacing w:after="0" w:line="194" w:lineRule="exact"/>
        <w:rPr>
          <w:sz w:val="20"/>
          <w:szCs w:val="20"/>
          <w:color w:val="auto"/>
        </w:rPr>
      </w:pPr>
    </w:p>
    <w:p>
      <w:pPr>
        <w:jc w:val="both"/>
        <w:ind w:right="1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FINRA Clearance</w:t>
      </w:r>
      <w:r>
        <w:rPr>
          <w:rFonts w:ascii="Times New Roman" w:cs="Times New Roman" w:eastAsia="Times New Roman" w:hAnsi="Times New Roman"/>
          <w:sz w:val="18"/>
          <w:szCs w:val="18"/>
          <w:color w:val="auto"/>
        </w:rPr>
        <w:t>. On or before the date of this Agreement, the Underwriters shall have received clearance from FINRA as to the amount of compensation allowable or payable to the Underwriters as described in the Registration Statement.</w:t>
      </w:r>
    </w:p>
    <w:p>
      <w:pPr>
        <w:spacing w:after="0" w:line="162" w:lineRule="exact"/>
        <w:rPr>
          <w:sz w:val="20"/>
          <w:szCs w:val="20"/>
          <w:color w:val="auto"/>
        </w:rPr>
      </w:pPr>
    </w:p>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Exchange Clearance</w:t>
      </w:r>
      <w:r>
        <w:rPr>
          <w:rFonts w:ascii="Times New Roman" w:cs="Times New Roman" w:eastAsia="Times New Roman" w:hAnsi="Times New Roman"/>
          <w:sz w:val="18"/>
          <w:szCs w:val="18"/>
          <w:color w:val="auto"/>
        </w:rPr>
        <w:t>. On the Closing Date, the Firm Shares shall have been approved for listing on the Exchange, subject only to official notice of issuance. On the first Option Closing Date (if any), the Option Shares shall have been approved for listing on the Exchange, subject only to official notice of issuance.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Counsel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Closing Date Opinion of Counsel</w:t>
      </w:r>
      <w:r>
        <w:rPr>
          <w:rFonts w:ascii="Times New Roman" w:cs="Times New Roman" w:eastAsia="Times New Roman" w:hAnsi="Times New Roman"/>
          <w:sz w:val="18"/>
          <w:szCs w:val="18"/>
          <w:color w:val="auto"/>
        </w:rPr>
        <w:t>. On the Closing Date, the Underwriters shall have received (i) the opinion and (ii) a written statement providing certain “10b-5” negative assurances, in each case, of Hogan Lovells, counsel to the Company, dated the Closing Date and addressed to the Underwriters in customary form.</w:t>
      </w:r>
    </w:p>
    <w:p>
      <w:pPr>
        <w:spacing w:after="0" w:line="176" w:lineRule="exact"/>
        <w:rPr>
          <w:sz w:val="20"/>
          <w:szCs w:val="20"/>
          <w:color w:val="auto"/>
        </w:rPr>
      </w:pPr>
    </w:p>
    <w:p>
      <w:pPr>
        <w:jc w:val="both"/>
        <w:ind w:right="2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Closing Date Opinion of Cayman Counsel</w:t>
      </w:r>
      <w:r>
        <w:rPr>
          <w:rFonts w:ascii="Times New Roman" w:cs="Times New Roman" w:eastAsia="Times New Roman" w:hAnsi="Times New Roman"/>
          <w:sz w:val="18"/>
          <w:szCs w:val="18"/>
          <w:color w:val="auto"/>
        </w:rPr>
        <w:t>. On the Closing Date, the Underwriters shall have received the favorable opinion of Maples and Calder (Hong Kong) LLP, Cayman Islands counsel for the Company, dated the Closing Date, in a customary form and substance reasonably satisfactory to Underwriters’ Counsel addressed to the Underwriters and stating that such opinions may be relied upon by the Underwriters.</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Closing Date Opinion of Singaporean Counsel</w:t>
      </w:r>
      <w:r>
        <w:rPr>
          <w:rFonts w:ascii="Times New Roman" w:cs="Times New Roman" w:eastAsia="Times New Roman" w:hAnsi="Times New Roman"/>
          <w:sz w:val="18"/>
          <w:szCs w:val="18"/>
          <w:color w:val="auto"/>
        </w:rPr>
        <w:t>. On the Closing Date, the Underwriters shall have received the favorable opinion of Resource Law LLC, Singaporean counsel for the Company, dated the Closing Date, in a customary form and substance reasonably satisfactory to Underwriters’ Counsel addressed to the Underwriters and stating that such opinions may be relied upon by the Underwriters.</w:t>
      </w:r>
    </w:p>
    <w:p>
      <w:pPr>
        <w:spacing w:after="0" w:line="176"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Closing Date Opinion of Underwriters’ Counsel</w:t>
      </w:r>
      <w:r>
        <w:rPr>
          <w:rFonts w:ascii="Times New Roman" w:cs="Times New Roman" w:eastAsia="Times New Roman" w:hAnsi="Times New Roman"/>
          <w:sz w:val="18"/>
          <w:szCs w:val="18"/>
          <w:color w:val="auto"/>
        </w:rPr>
        <w:t>. On the Closing Date, the Underwriters shall have received (i) the opinion and (ii) a written statement providing certain “10b-5” negative assurances, in each case, of the Underwriters’ Counsel, dated the Closing Date and addressed to the Underwriters in customary form.</w:t>
      </w:r>
    </w:p>
    <w:p>
      <w:pPr>
        <w:spacing w:after="0" w:line="176"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Closing Date Opinion of Depositary Counsel</w:t>
      </w:r>
      <w:r>
        <w:rPr>
          <w:rFonts w:ascii="Times New Roman" w:cs="Times New Roman" w:eastAsia="Times New Roman" w:hAnsi="Times New Roman"/>
          <w:sz w:val="18"/>
          <w:szCs w:val="18"/>
          <w:color w:val="auto"/>
        </w:rPr>
        <w:t>. On the Closing Date, the Underwriters shall have received the favorable opinion of Patterson Belknap Webb &amp; Tyler LLP for the Citibank, N.A., dated the Closing Date, in a customary form and substance reasonably satisfactory to Underwriters’ Counsel addressed to the Underwriters and stating that such opinions may be relied upon by the Underwriters.</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Option Closing Date Opinions of Counsel</w:t>
      </w:r>
      <w:r>
        <w:rPr>
          <w:rFonts w:ascii="Times New Roman" w:cs="Times New Roman" w:eastAsia="Times New Roman" w:hAnsi="Times New Roman"/>
          <w:sz w:val="18"/>
          <w:szCs w:val="18"/>
          <w:color w:val="auto"/>
        </w:rPr>
        <w:t>. On the Option Closing Date, if any, the Underwriters shall have received the opinions of counsel listed in Section 4.2.1, dated the Option Closing Date, in the form presented at the Closing Date.</w:t>
      </w:r>
    </w:p>
    <w:p>
      <w:pPr>
        <w:spacing w:after="0" w:line="162"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Option Closing Date Opinion of Cayman Counsel</w:t>
      </w:r>
      <w:r>
        <w:rPr>
          <w:rFonts w:ascii="Times New Roman" w:cs="Times New Roman" w:eastAsia="Times New Roman" w:hAnsi="Times New Roman"/>
          <w:sz w:val="18"/>
          <w:szCs w:val="18"/>
          <w:color w:val="auto"/>
        </w:rPr>
        <w:t>. On the Option Closing Date, if any, the Underwriters shall have received the favorable opinion of Cayman Counsel listed in Section 4.2.2, dated the Option Closing Date, in the form presented at the Closing date.</w:t>
      </w:r>
    </w:p>
    <w:p>
      <w:pPr>
        <w:spacing w:after="0" w:line="162"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Option Closing Date Opinion of Singaporean Counsel</w:t>
      </w:r>
      <w:r>
        <w:rPr>
          <w:rFonts w:ascii="Times New Roman" w:cs="Times New Roman" w:eastAsia="Times New Roman" w:hAnsi="Times New Roman"/>
          <w:sz w:val="18"/>
          <w:szCs w:val="18"/>
          <w:color w:val="auto"/>
        </w:rPr>
        <w:t>. On the Option Closing Date, if any, the Underwriters shall have received the opinion of Singaporean Counsel listed in Section 4.2.3, dated the Option Closing Date, in the form presented at the Closing Date.</w:t>
      </w:r>
    </w:p>
    <w:p>
      <w:pPr>
        <w:spacing w:after="0" w:line="162"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Option Closing Date Opinion of Depositary Counsel</w:t>
      </w:r>
      <w:r>
        <w:rPr>
          <w:rFonts w:ascii="Times New Roman" w:cs="Times New Roman" w:eastAsia="Times New Roman" w:hAnsi="Times New Roman"/>
          <w:sz w:val="18"/>
          <w:szCs w:val="18"/>
          <w:color w:val="auto"/>
        </w:rPr>
        <w:t>. On the Option Closing Date, if any, the Underwriters shall have received the opinion of Depositary Counsel listed in Section 4.2.5, dated the Option Closing Date, in the form presented at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Cold Comfort Letter</w:t>
      </w:r>
      <w:r>
        <w:rPr>
          <w:rFonts w:ascii="Times New Roman" w:cs="Times New Roman" w:eastAsia="Times New Roman" w:hAnsi="Times New Roman"/>
          <w:sz w:val="18"/>
          <w:szCs w:val="18"/>
          <w:color w:val="auto"/>
        </w:rPr>
        <w:t>. At the time this Agreement is executed, the Underwriters shall have received a cold comfort letter from the Auditor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Underwriters and in form and substance satisfactory to the Underwriters’ Counsel, dated as of the date of this Agreement.</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At each of the Closing Date and the Option Closing Date, if any, the Underwriters shall have received from the Auditor a letter, dated as of the Closing Date or the Option Closing Date, as applicable, to the effect that the Auditor reaffirms the statements made in the letter furnished pursuant to Section 4.3.1, except that the specified date referred to shall be a date not more than three (3) Business Days prior to the Closing Date.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Company shall have furnished to the Underwriters a certificate, dated the Closing Date and any Option Closing Date (if such date is other than the Closing Date), of its Chief Executive Officer and its Chief Financial Officer stating on behalf of the Company and not in an individual capacity that (i) such officers have carefully examined the Registration Statement, the Pricing Disclosure Package, any Issuer Free Writing Prospectus and the Prospectus and, they believe that the Registration Statement and each amendment thereto after the Effective Date, as of the Applicable Time and as of the Closing Date (or any Option Closing Date if such date is other than the Closing Date) did not include any untrue statement of a material fact and did not omit to state a material fact required to be stated therein or necessary to make the statements therein, in light of the circumstances under which they were made,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after the Effective Date, as of the respective date thereof and as of the Closing Date , did not include any untrue statement of a material fact and did not omit to state a material fact necessary in order to make the statements therein, in the light of the circumstances under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in the Pricing Disclosure Package, a Material Adverse Change.</w:t>
      </w:r>
    </w:p>
    <w:p>
      <w:pPr>
        <w:spacing w:after="0" w:line="193"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At each of the Closing Date and the Option Closing Date, if any, the Underwriters shall have received a certificate of the Company signed by the Secretary of the Company, dated the Closing Date or the Option Closing Date, as the case may be, respectively, certifying on behalf of the Company and not in an individual capacity: (i) that each of the Charter and Articles of Association is true and complete, has not been amended or modified and is in full force and effect; (ii) that the resolutions of the Board relating to the Offering are in full force and effect and have not been modified or rescinded; and (iii) as to the incumbency of the officers of the Company who have signed the certificates set forth in Section 4.4.1. The documents referred to in such certificate shall be attached thereto.</w:t>
      </w:r>
    </w:p>
    <w:p>
      <w:pPr>
        <w:spacing w:after="0" w:line="18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On the Closing Date or any Option Closing Date, as the case may be, the Company shall furnish to the Underwriters a certificate of the Company’s chief financial officer, dated the respective dates of their delivery and signed by the Chief Financial Officer and addressed to the Underwriters, with respect to certain operating and financial data contained in each of the Registration Statement, the Pricing Disclosure Package and the Prospectus, providing “management comfort” with respect to such information, in form and substance reasonably satisfactory to the Underwriters.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Material Changes</w:t>
      </w:r>
      <w:r>
        <w:rPr>
          <w:rFonts w:ascii="Times New Roman" w:cs="Times New Roman" w:eastAsia="Times New Roman" w:hAnsi="Times New Roman"/>
          <w:sz w:val="18"/>
          <w:szCs w:val="18"/>
          <w:color w:val="auto"/>
        </w:rPr>
        <w:t>. Prior to and on each of the Closing Date and each Option Closing Date, if any: (i) there shall have been no Material Adverse Change in the condition, financial or otherwise, business or prospects of the Company from the date of this Agreement; (ii) no action, suit or proceeding, at law or in equity, shall have been pending or threatened against the Company or any Insider before or by any court or federal or state commission, board or other administrative agency wherein an unfavorable decision, ruling or finding may be expected to cause a Material Adverse Change, except as set forth in the Registration Statement, the Pricing Disclosure Package and the Prospectus; (iii) no stop order shall have been issued by the Commission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the light of the circumstances under which they were made, not misleading.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Material Misstatement or Omission</w:t>
      </w:r>
      <w:r>
        <w:rPr>
          <w:rFonts w:ascii="Times New Roman" w:cs="Times New Roman" w:eastAsia="Times New Roman" w:hAnsi="Times New Roman"/>
          <w:sz w:val="18"/>
          <w:szCs w:val="18"/>
          <w:color w:val="auto"/>
        </w:rPr>
        <w:t>. The Underwriters shall not have discovered and disclosed to the Company on or prior to the Closing Date and any Option Closing Date that the Registration Statement or any amendment or supplement thereto contains an untrue statement of a fact which, is material or omits to state any fact which, is material and is required to be stated therein or is necessary to make the statements therein, in the light of the circumstances under which they were made, not misleading, or that the Registration Statement, the Pricing Disclosure Package, any Issuer Free Writing Prospectus or the Prospectus or any amendment or supplement thereto contains an untrue statement of fact which, is material or omits to state any fact which, is material and is necessary in order to make the statements, in the light of the circumstances under which they were made, not misleading.</w:t>
      </w:r>
    </w:p>
    <w:p>
      <w:pPr>
        <w:spacing w:after="0" w:line="18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incident to the authorization, form and validity of each of this Agreement, the Public Securities, the Registration Statement, the Pricing Disclosure Package, each Issuer Free Writing Prospectus, if any, and the Prospectus and all other legal matters relating to this Agreement and the transactions contemplated hereby and thereby shall be reasonably satisfactory in all material respects to Underwriters’ Counsel, and the Company shall have furnished to Underwriters’ Counsel all documents and information that Underwriters’ Counsel may reasonably request to enable it to pass upon such matters.</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Delivery of Lock-Up Agreements</w:t>
      </w:r>
      <w:r>
        <w:rPr>
          <w:rFonts w:ascii="Times New Roman" w:cs="Times New Roman" w:eastAsia="Times New Roman" w:hAnsi="Times New Roman"/>
          <w:sz w:val="18"/>
          <w:szCs w:val="18"/>
          <w:color w:val="auto"/>
        </w:rPr>
        <w:t xml:space="preserve">. On or before the date of this Agreement, the Company shall have delivered to the Underwriters executed copies of the Lock-Up Agreements from each of the persons listed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At the Closing Date and at each Option Closing Date (if any), Underwriters’ Counsel shall have been furnished with such documents as it may require for the purpose of enabling Underwriters’ Counsel to deliver an opinion to the Underwriters, or in order to evidence the accuracy of any of the representations or warranties, or the fulfillment of any of the conditions, herein contained; and all proceedings taken by the Company in connection with the issuance and sale of the Public Securities as herein contemplated shall be satisfactory in customary form and reasonably acceptable to Underwriters’ Counsel.</w:t>
      </w:r>
    </w:p>
    <w:p>
      <w:pPr>
        <w:spacing w:after="0" w:line="183" w:lineRule="exact"/>
        <w:rPr>
          <w:sz w:val="20"/>
          <w:szCs w:val="20"/>
          <w:color w:val="auto"/>
        </w:rPr>
      </w:pPr>
    </w:p>
    <w:p>
      <w:pPr>
        <w:ind w:left="180" w:hanging="172"/>
        <w:spacing w:after="0"/>
        <w:tabs>
          <w:tab w:leader="none" w:pos="1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the Underwriters.</w:t>
      </w:r>
    </w:p>
    <w:p>
      <w:pPr>
        <w:spacing w:after="0" w:line="225"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Company shall indemnify and hold harmless the Underwriters, its affiliates and each of its respective directors, officers, members, employees, representatives, partners, shareholders, affiliates, counsel and agents and each person, if any, who controls the Underwriters within the meaning of Section 15 of the Securities Act or Section 20 of the Exchange Act (collectively the “</w:t>
      </w:r>
      <w:r>
        <w:rPr>
          <w:rFonts w:ascii="Times New Roman" w:cs="Times New Roman" w:eastAsia="Times New Roman" w:hAnsi="Times New Roman"/>
          <w:sz w:val="17"/>
          <w:szCs w:val="17"/>
          <w:b w:val="1"/>
          <w:bCs w:val="1"/>
          <w:color w:val="auto"/>
        </w:rPr>
        <w:t>Underwriters Indemnified Parties</w:t>
      </w:r>
      <w:r>
        <w:rPr>
          <w:rFonts w:ascii="Times New Roman" w:cs="Times New Roman" w:eastAsia="Times New Roman" w:hAnsi="Times New Roman"/>
          <w:sz w:val="17"/>
          <w:szCs w:val="17"/>
          <w:color w:val="auto"/>
        </w:rPr>
        <w:t>,” and each an “</w:t>
      </w:r>
      <w:r>
        <w:rPr>
          <w:rFonts w:ascii="Times New Roman" w:cs="Times New Roman" w:eastAsia="Times New Roman" w:hAnsi="Times New Roman"/>
          <w:sz w:val="17"/>
          <w:szCs w:val="17"/>
          <w:b w:val="1"/>
          <w:bCs w:val="1"/>
          <w:color w:val="auto"/>
        </w:rPr>
        <w:t>Underwriters Indemnified Party</w:t>
      </w:r>
      <w:r>
        <w:rPr>
          <w:rFonts w:ascii="Times New Roman" w:cs="Times New Roman" w:eastAsia="Times New Roman" w:hAnsi="Times New Roman"/>
          <w:sz w:val="17"/>
          <w:szCs w:val="17"/>
          <w:color w:val="auto"/>
        </w:rPr>
        <w:t>”), against any and all loss, liability, claim, damage and expense whatsoever (including but not limited to any and all legal or other expenses reasonably incurred in investigating, preparing or defending against any litigation, commenced or threatened, or any claim whatsoever, between any of the Underwriters Indemnified Parties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the Registration Statement, the Pricing Disclosure Package, the Preliminary Prospectus, the Prospectus or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5, collectively called “</w:t>
      </w:r>
      <w:r>
        <w:rPr>
          <w:rFonts w:ascii="Times New Roman" w:cs="Times New Roman" w:eastAsia="Times New Roman" w:hAnsi="Times New Roman"/>
          <w:sz w:val="17"/>
          <w:szCs w:val="17"/>
          <w:b w:val="1"/>
          <w:bCs w:val="1"/>
          <w:color w:val="auto"/>
        </w:rPr>
        <w:t>application</w:t>
      </w:r>
      <w:r>
        <w:rPr>
          <w:rFonts w:ascii="Times New Roman" w:cs="Times New Roman" w:eastAsia="Times New Roman" w:hAnsi="Times New Roman"/>
          <w:sz w:val="17"/>
          <w:szCs w:val="17"/>
          <w:color w:val="auto"/>
        </w:rPr>
        <w:t>”) executed by the Company or based upon written information furnished by the Company in any jurisdiction in order to qualify the Public Securities under the securities laws thereof or filed with the Commission, any state securities commission or agency, the Exchange or any other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With respect to any untrue statement or omission or alleged untrue statement or omission made in the Registration Statement, the Pricing Disclosure Package, the Preliminary Prospectus, the Prospectus or any Issuer Free Writing Prospectus, the indemnity provisions of this Section 5.1.1 shall not inure to the benefit of the Underwriters Indemnified Party to the extent that any loss, liability, claim, damage or expense of the Underwriters Indemnified Party results from the fact that a copy of the Prospectus was not given or sent to the person asserting any such loss, liability, claim or damage at or prior to the written confirmation of sale of the Public Securities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Section 3.4 of this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2" w:name="page203"/>
    <w:bookmarkEnd w:id="202"/>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If any action is brought against an Underwriters Indemnified Party in respect of which indemnity may be sought against the Company pursuant to Section 5.1.1, the Underwriters Indemnified Party shall promptly notify the Company in writing of the institution of such action and the Company shall be entitled to participate therein and, to the extent that it wishes, jointly with the Company, to assume the defense of such action, including the employment and fees of counsel (subject to the reasonable approval of the Underwriters Indemnified Party) and payment of actual expenses. The Underwriters Indemnified Party shall have the right to employ its own counsel in any such case, but the fees and expenses of such counsel shall be at the expense of the Underwriters Indemnified Party unless (i) the employment of such counsel at the expense of the Company shall have been authorized in writing by the Company in connection with the defense of such action, or (ii) the Company shall not have employed counsel to have charge of the defense of such action, or (iii) such Underwriters Indemnified Party or Underwriters Indemnified Parties shall have been advised by its counsel that there may be defenses available to it or them which are different from or additional to those available to the Company (in which case the Company shall not have the right to direct the defense of such action on behalf of the Underwriters Indemnified Party or Underwriters Indemnified Parties), in any of which events the reasonable fees and expenses of not more than one additional firm of attorneys selected by the Underwriters Indemnified Parties who are party to such action (in addition to local counsel) shall be borne by the Company. Notwithstanding anything to the contrary contained herein, if the Underwriters Indemnified Party shall assume the defense of such action as provided above, the Company shall have the right to approve the terms of any settlement of such action, which approval shall not be unreasonably withheld.</w:t>
      </w:r>
    </w:p>
    <w:p>
      <w:pPr>
        <w:spacing w:after="0" w:line="19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The Underwriters shall indemnify and hold harmless the Company, its directors, its officers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such losses, liabilities, claims, damages and expenses (or actions in respect thereof) which arise out of or are based upon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the Underwriters, the Underwriters shall have the rights and duties given to the Company, and the Company and each other person so indemnified shall have the rights and duties given to the Underwriters by the provisions of Section 5.1.2. The Company agrees promptly to notify the Underwriters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3" w:name="page204"/>
    <w:bookmarkEnd w:id="203"/>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69" w:lineRule="auto"/>
        <w:rPr>
          <w:sz w:val="20"/>
          <w:szCs w:val="20"/>
          <w:color w:val="auto"/>
        </w:rPr>
      </w:pPr>
      <w:r>
        <w:rPr>
          <w:rFonts w:ascii="Times New Roman" w:cs="Times New Roman" w:eastAsia="Times New Roman" w:hAnsi="Times New Roman"/>
          <w:sz w:val="17"/>
          <w:szCs w:val="17"/>
          <w:color w:val="auto"/>
        </w:rPr>
        <w:t xml:space="preserve">5.3.1. </w:t>
      </w:r>
      <w:r>
        <w:rPr>
          <w:rFonts w:ascii="Times New Roman" w:cs="Times New Roman" w:eastAsia="Times New Roman" w:hAnsi="Times New Roman"/>
          <w:sz w:val="17"/>
          <w:szCs w:val="17"/>
          <w:u w:val="single" w:color="auto"/>
          <w:color w:val="auto"/>
        </w:rPr>
        <w:t>Contribution Rights</w:t>
      </w:r>
      <w:r>
        <w:rPr>
          <w:rFonts w:ascii="Times New Roman" w:cs="Times New Roman" w:eastAsia="Times New Roman" w:hAnsi="Times New Roman"/>
          <w:sz w:val="17"/>
          <w:szCs w:val="17"/>
          <w:color w:val="auto"/>
        </w:rPr>
        <w:t>.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hand, from the Offering, or (ii) if the allocation provided by clause</w:t>
      </w:r>
    </w:p>
    <w:p>
      <w:pPr>
        <w:spacing w:after="0" w:line="3" w:lineRule="exact"/>
        <w:rPr>
          <w:sz w:val="20"/>
          <w:szCs w:val="20"/>
          <w:color w:val="auto"/>
        </w:rPr>
      </w:pPr>
    </w:p>
    <w:p>
      <w:pPr>
        <w:ind w:firstLine="8"/>
        <w:spacing w:after="0" w:line="250" w:lineRule="auto"/>
        <w:tabs>
          <w:tab w:leader="none" w:pos="2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proceeds from the Offering purchased under this Agreement (before deducting expenses) received by the Company bear to the total Underwriting Discount and commissions received by the Underwriters in connection with the Offering,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Parties agree that the written information furnished to the Company through the Underwriters by or on behalf of the Underwriters for use in any Preliminary Prospectus, any Registration Statement or the Prospectus, or in any amendment or supplement thereto, consists solely of the Underwriters’ Information. The Parties agree that they would not be just and equitable if contributions pursuant to this Section 5.3.1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in this Section 5.3.1. The amount paid or payable by an indemnified party as a result of the loss, claim, damage, expense, liability, action, investigation or proceeding referred to above in this Section 5.3.1 shall be deemed to include, for purposes of this Section 5.3.1,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5.3.1, the Underwriters shall not be required to contribute any amount in excess of the total discount and commission received by the Underwriters in connection with the Offering. No person guilty of fraudulent misrepresentation (within the meaning of Section 11(f) of the Securities Act) shall be entitled to contribution from any person who was not guilty of such fraudulent misrepresentation.</w:t>
      </w:r>
    </w:p>
    <w:p>
      <w:pPr>
        <w:spacing w:after="0" w:line="206"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Contribution Procedure</w:t>
      </w:r>
      <w:r>
        <w:rPr>
          <w:rFonts w:ascii="Times New Roman" w:cs="Times New Roman" w:eastAsia="Times New Roman" w:hAnsi="Times New Roman"/>
          <w:sz w:val="18"/>
          <w:szCs w:val="18"/>
          <w:color w:val="auto"/>
        </w:rPr>
        <w:t>. Within fifteen (15) calendar days after receipt by any Party to this Agreement (or its representative) of notice of the commencement of any action, suit or proceeding, such Party (“</w:t>
      </w:r>
      <w:r>
        <w:rPr>
          <w:rFonts w:ascii="Times New Roman" w:cs="Times New Roman" w:eastAsia="Times New Roman" w:hAnsi="Times New Roman"/>
          <w:sz w:val="18"/>
          <w:szCs w:val="18"/>
          <w:b w:val="1"/>
          <w:bCs w:val="1"/>
          <w:color w:val="auto"/>
        </w:rPr>
        <w:t>Notifying Party</w:t>
      </w:r>
      <w:r>
        <w:rPr>
          <w:rFonts w:ascii="Times New Roman" w:cs="Times New Roman" w:eastAsia="Times New Roman" w:hAnsi="Times New Roman"/>
          <w:sz w:val="18"/>
          <w:szCs w:val="18"/>
          <w:color w:val="auto"/>
        </w:rPr>
        <w:t>”) will, if a claim for contribution in respect thereof is to be made against another party (“</w:t>
      </w:r>
      <w:r>
        <w:rPr>
          <w:rFonts w:ascii="Times New Roman" w:cs="Times New Roman" w:eastAsia="Times New Roman" w:hAnsi="Times New Roman"/>
          <w:sz w:val="18"/>
          <w:szCs w:val="18"/>
          <w:b w:val="1"/>
          <w:bCs w:val="1"/>
          <w:color w:val="auto"/>
        </w:rPr>
        <w:t>Contributing Party</w:t>
      </w:r>
      <w:r>
        <w:rPr>
          <w:rFonts w:ascii="Times New Roman" w:cs="Times New Roman" w:eastAsia="Times New Roman" w:hAnsi="Times New Roman"/>
          <w:sz w:val="18"/>
          <w:szCs w:val="18"/>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Notifying Party, and such Notifying Party notifies a Contributing Party of the commencement thereof within the aforesaid fifteen (15) calendar days, the Contributing Party will be entitled to participate therein with the Notifying Party and any other Contributing Party similarly notified. Any such Contributing Party shall not be liable to any Notifying Party seeking contribution on account of any settlement of any claim, action or proceeding effected by such Notifying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180" w:hanging="172"/>
        <w:spacing w:after="0"/>
        <w:tabs>
          <w:tab w:leader="none" w:pos="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Default in Purchase of Public Securities or Option Shares</w:t>
      </w:r>
      <w:r>
        <w:rPr>
          <w:rFonts w:ascii="Times New Roman" w:cs="Times New Roman" w:eastAsia="Times New Roman" w:hAnsi="Times New Roman"/>
          <w:sz w:val="18"/>
          <w:szCs w:val="18"/>
          <w:color w:val="auto"/>
        </w:rPr>
        <w:t xml:space="preserve">. If the Underwriters shall default in its obligation to purchase the Firm Securities or the Option Shares (assuming the Over-allotment Option is exercised hereunder), the Underwriters may, in its discretion, arrange for itself or for another party or parties to purchase such Firm Securities or Option Shares to which such default relates on the terms contained herein. If, (i) in the case of a default in less than 10% of the aggregate number of Public Securities or Option Shares the Underwriters agreed to purchase, within one (1) Business Day after such default or (ii) in the case of a default of 10% or more of the aggregate number of Public Securities or Option Shares, within three (3) Business Days after such default, the Underwriters does not arrange for the purchase of such Firm Securities or Option Shares, then the Company shall be entitled to a further period of one (1) Business Day within which to procure another party or parties satisfactory to the Underwriters to purchase said Firm Securities or Option Shares on such terms. In the event that neither of the Parties arranges for the purchase of the Firm Securities or Option Shares to which a default relates as provided in this Section 6, this Agreement will automatically be terminated by either Party without liability on the part of the Company (except as provided in Sections 9.4 and 9.5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default occurs with respect to the Option Shares, this Agreement will not terminate as to the Firm Securities;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nothing herein shall relieve the Underwriters of its liability, to the Company for damages occasioned by its default hereunder.</w:t>
      </w:r>
    </w:p>
    <w:p>
      <w:pPr>
        <w:spacing w:after="0" w:line="190" w:lineRule="exact"/>
        <w:rPr>
          <w:sz w:val="20"/>
          <w:szCs w:val="20"/>
          <w:color w:val="auto"/>
        </w:rPr>
      </w:pPr>
    </w:p>
    <w:p>
      <w:pPr>
        <w:ind w:left="180" w:hanging="172"/>
        <w:spacing w:after="0"/>
        <w:tabs>
          <w:tab w:leader="none" w:pos="1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Board Composition and Board Designations</w:t>
      </w:r>
      <w:r>
        <w:rPr>
          <w:rFonts w:ascii="Times New Roman" w:cs="Times New Roman" w:eastAsia="Times New Roman" w:hAnsi="Times New Roman"/>
          <w:sz w:val="18"/>
          <w:szCs w:val="18"/>
          <w:color w:val="auto"/>
        </w:rPr>
        <w:t>. The Company shall ensure that: (i) the qualifications of the persons serving as members of the Board and the overall composition of the Board comply with the Sarbanes-Oxley Act, the Exchange Act and the listing rules of the Exchange or any other national securities exchange, as the case may be, in the event the Company seeks to have its Public securities listed on another exchange or quoted on an automated quotation system, and (ii) if applicable, at least one member of the Audit Committee qualifies as an “audit committee financial expert,” as such term is defined under Regulation S-K and the listing rules of the Exchange.</w:t>
      </w:r>
    </w:p>
    <w:p>
      <w:pPr>
        <w:spacing w:after="0" w:line="183" w:lineRule="exact"/>
        <w:rPr>
          <w:sz w:val="20"/>
          <w:szCs w:val="20"/>
          <w:color w:val="auto"/>
        </w:rPr>
      </w:pPr>
    </w:p>
    <w:p>
      <w:pPr>
        <w:ind w:right="240" w:firstLine="648"/>
        <w:spacing w:after="0" w:line="228"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Prohibition on Press Releases and Public Announcements</w:t>
      </w:r>
      <w:r>
        <w:rPr>
          <w:rFonts w:ascii="Times New Roman" w:cs="Times New Roman" w:eastAsia="Times New Roman" w:hAnsi="Times New Roman"/>
          <w:sz w:val="17"/>
          <w:szCs w:val="17"/>
          <w:color w:val="auto"/>
        </w:rPr>
        <w:t>. Except as required by law or rule of Nasdaq, the Company shall not issue press releases or engage in any other publicity, without the Underwriters’ prior written consent, for a period ending at 5:00 p.m., Eastern time,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620"/>
        <w:spacing w:after="0" w:line="209" w:lineRule="auto"/>
        <w:rPr>
          <w:sz w:val="20"/>
          <w:szCs w:val="20"/>
          <w:color w:val="auto"/>
        </w:rPr>
      </w:pPr>
      <w:r>
        <w:rPr>
          <w:rFonts w:ascii="Times New Roman" w:cs="Times New Roman" w:eastAsia="Times New Roman" w:hAnsi="Times New Roman"/>
          <w:sz w:val="18"/>
          <w:szCs w:val="18"/>
          <w:color w:val="auto"/>
        </w:rPr>
        <w:t>Business Day following the fortieth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the Closing Date, other than normal and customary releases issued in the ordinary course of the Company’s business.</w:t>
      </w:r>
    </w:p>
    <w:p>
      <w:pPr>
        <w:spacing w:after="0" w:line="198" w:lineRule="exact"/>
        <w:rPr>
          <w:sz w:val="20"/>
          <w:szCs w:val="20"/>
          <w:color w:val="auto"/>
        </w:rPr>
      </w:pPr>
    </w:p>
    <w:p>
      <w:pPr>
        <w:ind w:right="20" w:firstLine="8"/>
        <w:spacing w:after="0" w:line="253" w:lineRule="auto"/>
        <w:tabs>
          <w:tab w:leader="none" w:pos="22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From and after the date of this Agreement, each Party agrees to: (i) maintain the other Party’s Confidential Information (as defined below) in strict confidence; (ii) direct such Party’s respective agents, representatives, or advisors, not to disclose or use any Confidential Information to the detriment of the disclosing Party; (iii) not disclose Confidential Information to any third parties; and (iv) not use any Confidential Information for any purpose except to consummate the Offering and perform such Party’s obligations under this Agreement. Each Party may disclose the Confidential Information of the other Party to the other Party’s agents, representatives, or advisors who have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need to know such Confidential Information for the purpose of consummating the Offering and performing such other Party’s obligations under this Agreement, but solely to such necessary extent and for no other purpose. The provisions of this Section 8 do not restrict a Party from disclosing the other Party’s Confidential Information to the extent required by any applicable law;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Party required to make such disclosure (i) gives the other Party prompt written notice thereof so that such other Party may seek an appropriate protective order or other remedy and/or waive compliance with the provisions of this Section 8, if applicable, (ii) cooperate with such other Party to obtain such protective order or other remedy, if applicable, (iii) furnish only that portion of the Confidential Information which is legally required to be disclosed and (iv) if such protective order or other remedy is not obtained or such other Party waives compliance with the provisions of this Section 8, use reasonable efforts to obtain assurances that confidential treatment will be accorded to such Confidential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(i) all trade secrets or confidential or proprietary information designated as such in writing by the disclosing Party, whether by letter or by the use of an appropriate proprietary stamp or legend, prior to or at the time any such trade secret or confidential or proprietary information is disclosed by the disclosing Party to the recipient Party or the recipient Party’s representatives; or (ii) information disclosed orally, visually, or in writing to the recipient by the disclosing Party and is received under circumstances, or is of such nature, that the recipient Party or the recipient Party’s representative knows or should reasonably be expected to understand the confidential and proprietary nature of such information. In addition, the term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includes (x) any notes, analyses, compilations, studies, interpretations, memoranda, or other documents prepared by the recipient Party or the recipient Party’s representatives which contain, reflect, or are based upon, in whole or in part, any Confidential Information furnished to the recipient Party or the recipient Party’s representatives pursuant to this Agreement; and (y) the existence or status of, and any information concerning, the discussions between the Parties concerning a purchaser, the Offering and this Agreement or the possible establishment of a business relationship. Confidential Information does not include information which: (1) is in the public domain as of the date hereof or hereafter enters the public domain without a breach by the recipient Party, (2) was known or became known by the recipient Party prior to the disclosing Party or the disclosing Party’s representative or advisors’ disclosure thereof to the recipient Party as demonstrated by the existence of the recipient Party’s written records, (3) becomes known to the recipient Party from a source other than the disclosing Party, which information is not provided by the breach of an obligation of confidentiality owed to the disclosing Party, (4) is disclosed by the disclosing Party to a third party without restrictions on its disclosure or</w:t>
      </w:r>
    </w:p>
    <w:p>
      <w:pPr>
        <w:spacing w:after="0" w:line="4" w:lineRule="exact"/>
        <w:rPr>
          <w:sz w:val="20"/>
          <w:szCs w:val="20"/>
          <w:color w:val="auto"/>
        </w:rPr>
      </w:pPr>
    </w:p>
    <w:p>
      <w:pPr>
        <w:ind w:right="60" w:firstLine="8"/>
        <w:spacing w:after="0" w:line="255" w:lineRule="auto"/>
        <w:tabs>
          <w:tab w:leader="none" w:pos="2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recipient Party without any use of or reliance on any information of the disclosing Party. For the avoidance of doubt, except as otherwise provided herein, all information which is not publicly available relating to the Company’s proprietary technology is proprietary and confidential.</w:t>
      </w:r>
    </w:p>
    <w:p>
      <w:pPr>
        <w:spacing w:after="0" w:line="186" w:lineRule="exact"/>
        <w:rPr>
          <w:sz w:val="20"/>
          <w:szCs w:val="20"/>
          <w:color w:val="auto"/>
        </w:rPr>
      </w:pPr>
    </w:p>
    <w:p>
      <w:pPr>
        <w:ind w:left="240" w:hanging="232"/>
        <w:spacing w:after="0"/>
        <w:tabs>
          <w:tab w:leader="none" w:pos="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this Agreement and Termination Thereof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become effective when each Party has executed the same and delivered counterparts of its signature to the other Party.</w:t>
      </w:r>
    </w:p>
    <w:p>
      <w:pPr>
        <w:spacing w:after="0" w:line="16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Underwriters may terminate this Agreement at any time prior to any Closing Date, (i) if any domestic or international event or act or occurrence has materially disrupted, or in the Underwriters’ opinion will in the immediate future materially disrupt, general securities markets in the United States; or (ii) if trading generally on the New York Stock Exchange or the Nasdaq Stock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escalation in major hostilities; or (iv) if a banking moratorium has been declared by a New York State or federal authority; or (v) regulatory approval (including but not limited to Nasdaq approval) for the Offering is denied, conditioned or modified and as a result it makes it impracticable for the Underwriters to proceed with the Offering and/or delivery of the Public Securities or to enforce contracts for the sale of the Public Securities or Option Shares, or (vi) if a moratorium on foreign exchange trading has been declared which materially adversely impacts the United States securities markets; or</w:t>
      </w:r>
    </w:p>
    <w:p>
      <w:pPr>
        <w:spacing w:after="0" w:line="6" w:lineRule="exact"/>
        <w:rPr>
          <w:sz w:val="20"/>
          <w:szCs w:val="20"/>
          <w:color w:val="auto"/>
        </w:rPr>
      </w:pPr>
    </w:p>
    <w:p>
      <w:pPr>
        <w:ind w:right="60" w:firstLine="8"/>
        <w:spacing w:after="0" w:line="252" w:lineRule="auto"/>
        <w:tabs>
          <w:tab w:leader="none" w:pos="3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have sustained a material loss by fire, flood, accident, hurricane, earthquake, theft, sabotage or other calamity or malicious act which, whether or not such loss shall have been insured, will, in the Underwriters’ opinion, make it inadvisable to proceed with the delivery of the Firm Shares; or (viii) if the Company is in material breach of any of its representations, warranties or covenants hereunder; or (ix) if the Underwriters shall have become aware after the date of this Agreement of a Material Adverse Change, or an adverse material change in general market conditions as in the Underwriters’ judgment would make it impracticable to proceed with the Offering and/or delivery of the Public Securities or to enforce contracts made by the Underwriters for the sale of the Public Securities.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6" w:name="page207"/>
    <w:bookmarkEnd w:id="206"/>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Notwithstanding anything to the contrary in this Agreement, except in the case of a default by the Underwriters pursuant to Section 6.1 above, in the event that this Agreement shall not be carried out for any reason whatsoever, within the time specified herein or any extensions thereof pursuant to the terms herein, the Company shall be obligated to pay to the Underwriters its actual and reasonable out-of-pocket expenses related to the transactions contemplated herein then due and payable, including but not limited to reasonable and documented travel, lodging, legal fees (including all reasonable fees and disbursements of Underwriters’ Counsel in all relevant jurisdictions), due diligence fees (including for background checks of the Company’s officers and directors), and other expenses and disbursements incurred in connection with the Underwriters’ services for the purpose of the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aggregate amount of such reimbursable expenses shall not exceed US$250,000 and shall be reduced by amounts previously advanced to the Underwriters (if any) and/or any amounts previously paid to the Underwriters in reimbursement for such expenses. Upon the Underwriters’ demand, the Company shall pay the full amount of such expenses to the Underwriters and the Underwriters shall return any portion of such advance not used to pay its accountable out-of-pocket expenses actually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expense limit in no way limits or impairs the indemnification and contribution provisions of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Survival of Indemnification</w:t>
      </w:r>
      <w:r>
        <w:rPr>
          <w:rFonts w:ascii="Times New Roman" w:cs="Times New Roman" w:eastAsia="Times New Roman" w:hAnsi="Times New Roman"/>
          <w:sz w:val="18"/>
          <w:szCs w:val="18"/>
          <w:color w:val="auto"/>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spacing w:after="0" w:line="17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Representations, Warranties, Agreements to Survive</w:t>
      </w:r>
      <w:r>
        <w:rPr>
          <w:rFonts w:ascii="Times New Roman" w:cs="Times New Roman" w:eastAsia="Times New Roman" w:hAnsi="Times New Roman"/>
          <w:sz w:val="18"/>
          <w:szCs w:val="18"/>
          <w:color w:val="auto"/>
        </w:rPr>
        <w:t>. All representations, warranties and agreements contained in this Agreement (except for Section 6.1) or in certificates of officers of the Company submitted pursuant hereto, shall remain operative and in full force and effect regardless of (i) any investigation made by or on behalf of the Underwriters or its affiliates or selling agents, any person controlling the Underwriters, its officers or directors or any person controlling the Company or (ii) delivery of and payment for the Public Securities.</w:t>
      </w:r>
    </w:p>
    <w:p>
      <w:pPr>
        <w:spacing w:after="0" w:line="180" w:lineRule="exact"/>
        <w:rPr>
          <w:sz w:val="20"/>
          <w:szCs w:val="20"/>
          <w:color w:val="auto"/>
        </w:rPr>
      </w:pPr>
    </w:p>
    <w:p>
      <w:pPr>
        <w:ind w:left="280" w:hanging="272"/>
        <w:spacing w:after="0"/>
        <w:tabs>
          <w:tab w:leader="none" w:pos="2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(2) days after such mailing.</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18"/>
          <w:szCs w:val="18"/>
          <w:color w:val="auto"/>
        </w:rPr>
        <w:t>If to the Underwriters: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Harborside Financial Center Plaza 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185 Hudson Street, Ste 1410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Jersey City, NJ 07311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Sichenzia Ross Ference Carmel LLP</w:t>
      </w:r>
    </w:p>
    <w:p>
      <w:pPr>
        <w:ind w:left="980"/>
        <w:spacing w:after="0" w:line="205" w:lineRule="auto"/>
        <w:rPr>
          <w:sz w:val="20"/>
          <w:szCs w:val="20"/>
          <w:color w:val="auto"/>
        </w:rPr>
      </w:pPr>
      <w:r>
        <w:rPr>
          <w:rFonts w:ascii="Times New Roman" w:cs="Times New Roman" w:eastAsia="Times New Roman" w:hAnsi="Times New Roman"/>
          <w:sz w:val="18"/>
          <w:szCs w:val="18"/>
          <w:color w:val="auto"/>
        </w:rPr>
        <w:t>1185 Avenue of the Americas,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10036s</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Ross. D. Carmel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rcarmel@srfc.law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Suntech Tower 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 Temasek Boulevard #24-03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Singapore, 38988</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William Soon Huat Lim</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william.lim@tridentity.me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Hogan Lovells</w:t>
      </w:r>
    </w:p>
    <w:p>
      <w:pPr>
        <w:ind w:left="980"/>
        <w:spacing w:after="0" w:line="192" w:lineRule="auto"/>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One Pacific Place</w:t>
      </w:r>
    </w:p>
    <w:p>
      <w:pPr>
        <w:ind w:left="980"/>
        <w:spacing w:after="0"/>
        <w:rPr>
          <w:sz w:val="20"/>
          <w:szCs w:val="20"/>
          <w:color w:val="auto"/>
        </w:rPr>
      </w:pPr>
      <w:r>
        <w:rPr>
          <w:rFonts w:ascii="Times New Roman" w:cs="Times New Roman" w:eastAsia="Times New Roman" w:hAnsi="Times New Roman"/>
          <w:sz w:val="18"/>
          <w:szCs w:val="18"/>
          <w:color w:val="auto"/>
        </w:rPr>
        <w:t>88 Queensway Hong Kong</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Stephanie Tang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Stephanie.tang@hoganlovells.com</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the sole purpose of convenience of reference and shall not in any way limit or affect the meaning or interpretation of any of the terms or provisions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by a written instrument executed by each Party.</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agreements and documents being delivered pursuant to or in connection with this Agreement) constitutes the entire agreement of the Parties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that all other terms and conditions of the Engagement Letter shall remain in full force and effect.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8" w:name="page209"/>
    <w:bookmarkEnd w:id="208"/>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inure solely to the benefit of and shall be binding upon the Parties and the controlling persons, directors and officers referred to in Section 5 hereof, and their respective successors, legal representatives,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the Underwriters.</w:t>
      </w:r>
    </w:p>
    <w:p>
      <w:pPr>
        <w:spacing w:after="0" w:line="18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Governing Law; Consent to Jurisdiction; Appointment of Agent for Service; Waiver of Trial by Jury</w:t>
      </w:r>
      <w:r>
        <w:rPr>
          <w:rFonts w:ascii="Times New Roman" w:cs="Times New Roman" w:eastAsia="Times New Roman" w:hAnsi="Times New Roman"/>
          <w:sz w:val="18"/>
          <w:szCs w:val="18"/>
          <w:color w:val="auto"/>
        </w:rPr>
        <w:t>. This Agreement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Agreement (each, a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be brought and enforced in the New York Supreme Court, County of New York, or in the United States District Court for the Southern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District of New York, and irrevocably submits to such jurisdiction, which jurisdiction shall be exclusive. The Company hereby waives any objection to such exclusive jurisdiction and that such courts represent an inconvenient forum. The Company hereby irrevocably appoints Cogency Global Inc., with offices at 122 East 42nd Street, 18th Floor, New York, NY 10168 as its agent for service of process in any Related Proceeding and agrees that service of process in any such Related Proceeding may be made upon it at the office of such agent. or summons to be served upon the Company may be served by transmitting a copy thereof by registered or certified mail, return receipt requested, postage prepaid, addressed to it at the street address set forth in Section 10.1 hereof. Such mailing shall be deemed personal service and shall be legal and binding upon the Company in any action, proceeding or claim. The Company agrees that the prevailing Party in any such action shall be entitled to recover from the other Party all of such prevailing Party’s reasonable attorneys’ fees and expenses relating to such action or proceeding and/or incurred in connection with the preparation therefor. The Company (on its behalf and, to the extent permitted by applicable law, on behalf of its stockholders and affiliates) and the Underwriters hereby irrevocably waives, to the fullest extent permitted by applicable law, any and all right to trial by jury in any legal proceeding arising out of or relating to this Agreement or the transactions contemplated hereby.</w:t>
      </w:r>
    </w:p>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one or more counterparts, and by the different Parties in separate counterparts, each of which shall be deemed to be an original, but all of which taken together shall constitute one and the same agreement and shall become effective when one or more counterparts has been signed by each Party and delivered to the other Party. Delivery of a signed counterpart of this Agreement by facsimile or email or .pdf transmission shall constitute valid and sufficient delivery thereof.</w:t>
      </w:r>
    </w:p>
    <w:p>
      <w:pPr>
        <w:spacing w:after="0" w:line="180" w:lineRule="exact"/>
        <w:rPr>
          <w:sz w:val="20"/>
          <w:szCs w:val="20"/>
          <w:color w:val="auto"/>
        </w:rPr>
      </w:pPr>
    </w:p>
    <w:p>
      <w:pPr>
        <w:ind w:right="80" w:firstLine="702"/>
        <w:spacing w:after="0" w:line="25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The failure of any Party to at any time enforce any of the provisions of this Agreement shall not be deemed or construed to be a waiver of any such provision, nor to in any way effect the validity of this Agreement or any provision hereof or the right of any Party to thereafter enforce each and every provision of this Agreement. No waiver of any breach, non-compliance or non-fulfillment of any of the provisions of this Agreement shall be effective unless set forth in a written instrument executed by the Party against whom or which enforcement of such waiver is sought; and no waiver of any such breach, non-compliance or non-fulfillment shall be construed or deemed to be a waiver of any other or subsequent breach, non-compliance or non-fulfillment.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caused this Underwriting Agreement to be duly executed as of the day and year first above written.</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6540" w:type="dxa"/>
            <w:vAlign w:val="bottom"/>
            <w:gridSpan w:val="6"/>
          </w:tcPr>
          <w:p>
            <w:pPr>
              <w:ind w:left="1580"/>
              <w:spacing w:after="0"/>
              <w:rPr>
                <w:sz w:val="20"/>
                <w:szCs w:val="20"/>
                <w:color w:val="auto"/>
              </w:rPr>
            </w:pPr>
            <w:r>
              <w:rPr>
                <w:rFonts w:ascii="Times New Roman" w:cs="Times New Roman" w:eastAsia="Times New Roman" w:hAnsi="Times New Roman"/>
                <w:sz w:val="18"/>
                <w:szCs w:val="18"/>
                <w:b w:val="1"/>
                <w:bCs w:val="1"/>
                <w:color w:val="auto"/>
              </w:rPr>
              <w:t>SCHEDULE 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 Shares</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to be</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if</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the Over-</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Allotment</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 is</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Fully</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Firm Shares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Exercised by</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45"/>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Underwriters</w:t>
            </w:r>
          </w:p>
        </w:tc>
      </w:tr>
      <w:tr>
        <w:trPr>
          <w:trHeight w:val="236"/>
        </w:trPr>
        <w:tc>
          <w:tcPr>
            <w:tcW w:w="3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WallachBeth Capital LLC</w:t>
            </w: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2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Revere Securities, LLC</w:t>
            </w: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1" w:name="page212"/>
    <w:bookmarkEnd w:id="211"/>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2-A</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Option Shares: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Firm Share: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Option Share: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 per Firm Share: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 per Option Share: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Company per Firm Share (before expenses):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Company per Option Share (before expenses): $[●]</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2-B</w:t>
      </w:r>
    </w:p>
    <w:p>
      <w:pPr>
        <w:spacing w:after="0" w:line="22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b w:val="1"/>
          <w:bCs w:val="1"/>
          <w:color w:val="auto"/>
        </w:rPr>
        <w:t>Issuer General Use Free Writing Prospectuses</w:t>
      </w:r>
    </w:p>
    <w:p>
      <w:pPr>
        <w:spacing w:after="0" w:line="200" w:lineRule="exact"/>
        <w:rPr>
          <w:sz w:val="20"/>
          <w:szCs w:val="20"/>
          <w:color w:val="auto"/>
        </w:rPr>
      </w:pPr>
    </w:p>
    <w:p>
      <w:pPr>
        <w:spacing w:after="0" w:line="2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Sch.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gridSpan w:val="2"/>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SCHEDULE 3</w:t>
            </w:r>
          </w:p>
        </w:tc>
      </w:tr>
      <w:tr>
        <w:trPr>
          <w:trHeight w:val="20"/>
        </w:trPr>
        <w:tc>
          <w:tcPr>
            <w:tcW w:w="4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7"/>
        </w:trPr>
        <w:tc>
          <w:tcPr>
            <w:tcW w:w="4500" w:type="dxa"/>
            <w:vAlign w:val="bottom"/>
          </w:tcPr>
          <w:p>
            <w:pPr>
              <w:spacing w:after="0"/>
              <w:rPr>
                <w:sz w:val="20"/>
                <w:szCs w:val="20"/>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List of Lock-Up Parties</w:t>
            </w:r>
          </w:p>
        </w:tc>
      </w:tr>
      <w:tr>
        <w:trPr>
          <w:trHeight w:val="45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24"/>
                <w:szCs w:val="24"/>
                <w:color w:val="auto"/>
              </w:rPr>
            </w:pPr>
          </w:p>
        </w:tc>
        <w:tc>
          <w:tcPr>
            <w:tcW w:w="6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Position</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Director and Chief Executive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capital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Wealth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capital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capital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capital stock</w:t>
            </w:r>
          </w:p>
        </w:tc>
      </w:tr>
      <w:tr>
        <w:trPr>
          <w:trHeight w:val="68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jc w:val="center"/>
              <w:ind w:right="5060"/>
              <w:spacing w:after="0"/>
              <w:rPr>
                <w:sz w:val="20"/>
                <w:szCs w:val="20"/>
                <w:color w:val="auto"/>
              </w:rPr>
            </w:pPr>
            <w:r>
              <w:rPr>
                <w:rFonts w:ascii="Times New Roman" w:cs="Times New Roman" w:eastAsia="Times New Roman" w:hAnsi="Times New Roman"/>
                <w:sz w:val="22"/>
                <w:szCs w:val="22"/>
                <w:color w:val="auto"/>
                <w:w w:val="98"/>
              </w:rPr>
              <w:t>Sch. 3-1</w:t>
            </w:r>
          </w:p>
        </w:tc>
      </w:tr>
    </w:tbl>
    <w:p>
      <w:pPr>
        <w:sectPr>
          <w:pgSz w:w="11900" w:h="16838" w:orient="portrait"/>
          <w:cols w:equalWidth="0" w:num="1">
            <w:col w:w="11240"/>
          </w:cols>
          <w:pgMar w:left="320" w:top="891"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Harborside Financial Center Plaza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Hudson Street, Ste 1410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 City, NJ 07311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right="600" w:firstLine="648"/>
        <w:spacing w:after="0" w:line="262" w:lineRule="auto"/>
        <w:rPr>
          <w:sz w:val="20"/>
          <w:szCs w:val="20"/>
          <w:color w:val="auto"/>
        </w:rPr>
      </w:pPr>
      <w:r>
        <w:rPr>
          <w:rFonts w:ascii="Times New Roman" w:cs="Times New Roman" w:eastAsia="Times New Roman" w:hAnsi="Times New Roman"/>
          <w:sz w:val="18"/>
          <w:szCs w:val="18"/>
          <w:color w:val="auto"/>
        </w:rPr>
        <w:t>The undersigned understands that WallachBeth Capital LLC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Trident Digital Tech Holdings Ltd, a Cayman Islands exempt company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offering of the Public Securities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Capitalized terms used but not herein defined have the meanings set forth in the Underwriting Agreement.</w:t>
      </w:r>
    </w:p>
    <w:p>
      <w:pPr>
        <w:spacing w:after="0" w:line="18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To induce the Underwriters to continue its efforts in connection with the Offering, the undersigned hereby agrees that, without the prior written consent of the Underwriters, the undersigned will not, for a period of six (6) months from the closing of the Public Offering (the “</w:t>
      </w:r>
      <w:r>
        <w:rPr>
          <w:rFonts w:ascii="Times New Roman" w:cs="Times New Roman" w:eastAsia="Times New Roman" w:hAnsi="Times New Roman"/>
          <w:sz w:val="17"/>
          <w:szCs w:val="17"/>
          <w:b w:val="1"/>
          <w:bCs w:val="1"/>
          <w:color w:val="auto"/>
        </w:rPr>
        <w:t>Lock-Up Period</w:t>
      </w:r>
      <w:r>
        <w:rPr>
          <w:rFonts w:ascii="Times New Roman" w:cs="Times New Roman" w:eastAsia="Times New Roman" w:hAnsi="Times New Roman"/>
          <w:sz w:val="17"/>
          <w:szCs w:val="17"/>
          <w:color w:val="auto"/>
        </w:rPr>
        <w:t>”),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w:t>
      </w:r>
      <w:r>
        <w:rPr>
          <w:rFonts w:ascii="Times New Roman" w:cs="Times New Roman" w:eastAsia="Times New Roman" w:hAnsi="Times New Roman"/>
          <w:sz w:val="17"/>
          <w:szCs w:val="17"/>
          <w:b w:val="1"/>
          <w:bCs w:val="1"/>
          <w:color w:val="auto"/>
        </w:rPr>
        <w:t>Lock-up Securities</w:t>
      </w:r>
      <w:r>
        <w:rPr>
          <w:rFonts w:ascii="Times New Roman" w:cs="Times New Roman" w:eastAsia="Times New Roman" w:hAnsi="Times New Roman"/>
          <w:sz w:val="17"/>
          <w:szCs w:val="17"/>
          <w:color w:val="auto"/>
        </w:rPr>
        <w:t>”); (ii) file or cause to be filed any registration statement with the Commission relating to the offering of Lock-Up Securities; (iii) complete any offering of debt securities of the Company without notice to the Underwriters, other than entering into a line of credit or senior credit facility with a traditional bank or other lending institution,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 The restrictions contained in this paragraph shall not apply to (i) the Class B Shares to be sold in the Offering, (ii) the issuance by the Company of shares of capital stock upon the exercise of an outstanding stock option or warrant or the conversion of a security outstanding on the date hereof, of which the Underwriters has been advised in writing, (iii) the issuance by the Company of any security under any equity compensation plan of the Company or (iv) any issuance of securities disclosed in the Registration Statement, the Pricing Disclosure Package or the Prospectus.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undersigned agrees that the foregoing restrictions shall be equally applicable to any capital stock of issuer-directed or “friends and family” that the undersigned may purchase in the Offering; (ii) the Underwriters agrees that, at least three (3) Business Days before the effective date of any release or waiver of the foregoing restrictions in connection with a transfer of Lock-Up Securities, the Underwriters will notify the Company of the impending release or waiver; and (iii) the Company has agreed in the Underwriting Agreement to announce the impending release or waiver by press release through a major news service at least two (2) Business Days before the effective date of the release or waiver. Any release or waiver granted by the Underwriters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 provision in this agreement shall be deemed to restrict or prohibit the exercise, exchange or conversion by the undersigned of any securities exercisable or exchangeable for or convertible into Lock-Up Securities,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undersigned does not transfer the Lock-Up Securities acquired on such exercise, exchange or conversion during the Lock-Up Period, unless otherwise permitted pursuant to the terms of this lock-up agreement. In addition, no provision herein shall be deemed to restrict or prohibit the entry into or modification of a so-called “10b5-1” plan at any time (other than the entry into or modification of such a plan in such a manner as to cause the sale of any Lock-Up Securities within the Lock-Up Period).</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Parties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if the Underwriting Agreement is not executed by [DATE], 2024, or if the Underwriting Agreement (other than the provisions thereof which survive termination) shall terminate or be terminated prior to payment for and delivery of the Public Securities, then this Lock-Up agreement shall be void and of no further force or effect.</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an Underwriting Agreement, the terms of which are subject to negotiation between the Parties.</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of Signatory, in the case of entities - Please Print)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171450</wp:posOffset>
            </wp:positionV>
            <wp:extent cx="270891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270891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15" w:name="page216"/>
    <w:bookmarkEnd w:id="2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ind w:left="980" w:right="360"/>
        <w:spacing w:after="0" w:line="276" w:lineRule="auto"/>
        <w:rPr>
          <w:sz w:val="20"/>
          <w:szCs w:val="20"/>
          <w:color w:val="auto"/>
        </w:rPr>
      </w:pPr>
      <w:r>
        <w:rPr>
          <w:rFonts w:ascii="Times New Roman" w:cs="Times New Roman" w:eastAsia="Times New Roman" w:hAnsi="Times New Roman"/>
          <w:sz w:val="17"/>
          <w:szCs w:val="17"/>
          <w:color w:val="auto"/>
        </w:rPr>
        <w:t>Trident Digital Tech Holdings Ltd (the “Company”) announced today that WallachBeth Capital LLC, acting as the Underwriters in the Company’s recent public offering of _______ American Depositary Shares of the Company (“ADS”), each ADS representing [ ] Class B</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of the Company, par value US$0.00001 per share, is [waiving] [releasing] a lock-up restriction with respect to _________</w:t>
      </w:r>
    </w:p>
    <w:p>
      <w:pPr>
        <w:spacing w:after="0" w:line="9" w:lineRule="exact"/>
        <w:rPr>
          <w:sz w:val="20"/>
          <w:szCs w:val="20"/>
          <w:color w:val="auto"/>
        </w:rPr>
      </w:pPr>
    </w:p>
    <w:p>
      <w:pPr>
        <w:ind w:left="980" w:right="140"/>
        <w:spacing w:after="0" w:line="255" w:lineRule="auto"/>
        <w:rPr>
          <w:sz w:val="20"/>
          <w:szCs w:val="20"/>
          <w:color w:val="auto"/>
        </w:rPr>
      </w:pPr>
      <w:r>
        <w:rPr>
          <w:rFonts w:ascii="Times New Roman" w:cs="Times New Roman" w:eastAsia="Times New Roman" w:hAnsi="Times New Roman"/>
          <w:sz w:val="18"/>
          <w:szCs w:val="18"/>
          <w:color w:val="auto"/>
        </w:rPr>
        <w:t>Class B ordinary shares of the Company (the “Shares”) held by [certain officers or directors or shareholders holding more than 5% of the outstanding capital stock] [an officer or director or shareholder holding more than 5% of the outstanding capital stock] of the Company. The [waiver] [release] will take effect on _________, 20___, and the Shares may be sold or otherwise disposed of on or after such date.</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156845</wp:posOffset>
            </wp:positionV>
            <wp:extent cx="2228850" cy="3429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22288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Trident Digital Tech Holdings Ltd on the Amendment No. 8 to Form F-1 (File No. 333-274857) of our report dated April 19, 2024, with respect to our audits of the consolidated financial statements of Trident Digital Tech Holdings Ltd as of December 31, 2023 and 2022 and for the years ended December 31, 2023 and 2022, which report appears in the Prospectus, which is part of this Registration Statement.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9,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right="260"/>
        <w:spacing w:after="0" w:line="282" w:lineRule="auto"/>
        <w:rPr>
          <w:sz w:val="20"/>
          <w:szCs w:val="20"/>
          <w:color w:val="auto"/>
        </w:rPr>
      </w:pPr>
      <w:r>
        <w:rPr>
          <w:rFonts w:ascii="Times New Roman" w:cs="Times New Roman" w:eastAsia="Times New Roman" w:hAnsi="Times New Roman"/>
          <w:sz w:val="18"/>
          <w:szCs w:val="18"/>
          <w:color w:val="auto"/>
        </w:rPr>
        <w:t>BEIJING OFFICE ● Units 06-09 ● 46th Floor ● China World Tower B ● No. 1 Jian Guo Men Wai Avenue ● Chaoyang District ● Beijing ● 100004 Phone 8610.8518.7992 ● Fax 8610.8518.7993 ● www.marcumasia.com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1)"/>
      <w:numFmt w:val="decimal"/>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1)"/>
      <w:numFmt w:val="decimal"/>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1)"/>
      <w:numFmt w:val="lowerRoman"/>
      <w:start w:val="4"/>
    </w:lvl>
  </w:abstractNum>
  <w:abstractNum w:abstractNumId="32">
    <w:nsid w:val="3FA62ACA"/>
    <w:multiLevelType w:val="hybridMultilevel"/>
    <w:lvl w:ilvl="0">
      <w:lvlJc w:val="left"/>
      <w:lvlText w:val="(%1)"/>
      <w:numFmt w:val="lowerRoman"/>
      <w:start w:val="2"/>
    </w:lvl>
  </w:abstractNum>
  <w:abstractNum w:abstractNumId="33">
    <w:nsid w:val="14FCE74E"/>
    <w:multiLevelType w:val="hybridMultilevel"/>
    <w:lvl w:ilvl="0">
      <w:lvlJc w:val="left"/>
      <w:lvlText w:val="(%1)"/>
      <w:numFmt w:val="lowerRoman"/>
      <w:start w:val="3"/>
    </w:lvl>
  </w:abstractNum>
  <w:abstractNum w:abstractNumId="34">
    <w:nsid w:val="6A3DD3E8"/>
    <w:multiLevelType w:val="hybridMultilevel"/>
    <w:lvl w:ilvl="0">
      <w:lvlJc w:val="left"/>
      <w:lvlText w:val="(%1)"/>
      <w:numFmt w:val="decimal"/>
      <w:start w:val="1"/>
    </w:lvl>
  </w:abstractNum>
  <w:abstractNum w:abstractNumId="35">
    <w:nsid w:val="71C91298"/>
    <w:multiLevelType w:val="hybridMultilevel"/>
    <w:lvl w:ilvl="0">
      <w:lvlJc w:val="left"/>
      <w:lvlText w:val="(%1)"/>
      <w:numFmt w:val="lowerRoman"/>
      <w:start w:val="2"/>
    </w:lvl>
  </w:abstractNum>
  <w:abstractNum w:abstractNumId="36">
    <w:nsid w:val="9DAF632"/>
    <w:multiLevelType w:val="hybridMultilevel"/>
    <w:lvl w:ilvl="0">
      <w:lvlJc w:val="left"/>
      <w:lvlText w:val="(%1)"/>
      <w:numFmt w:val="lowerRoman"/>
      <w:start w:val="2"/>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1)"/>
      <w:numFmt w:val="lowerRoman"/>
      <w:start w:val="1"/>
    </w:lvl>
  </w:abstractNum>
  <w:abstractNum w:abstractNumId="49">
    <w:nsid w:val="415E286C"/>
    <w:multiLevelType w:val="hybridMultilevel"/>
    <w:lvl w:ilvl="0">
      <w:lvlJc w:val="left"/>
      <w:lvlText w:val="(%1)"/>
      <w:numFmt w:val="lowerRoman"/>
      <w:start w:val="10"/>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1)"/>
      <w:numFmt w:val="lowerRoman"/>
      <w:start w:val="6"/>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1)"/>
      <w:numFmt w:val="decimal"/>
      <w:start w:val="1"/>
    </w:lvl>
  </w:abstractNum>
  <w:abstractNum w:abstractNumId="62">
    <w:nsid w:val="69E373"/>
    <w:multiLevelType w:val="hybridMultilevel"/>
    <w:lvl w:ilvl="0">
      <w:lvlJc w:val="left"/>
      <w:lvlText w:val="(%1)"/>
      <w:numFmt w:val="decimal"/>
      <w:start w:val="2"/>
    </w:lvl>
  </w:abstractNum>
  <w:abstractNum w:abstractNumId="63">
    <w:nsid w:val="2C27173B"/>
    <w:multiLevelType w:val="hybridMultilevel"/>
    <w:lvl w:ilvl="0">
      <w:lvlJc w:val="left"/>
      <w:lvlText w:val="(%1)"/>
      <w:numFmt w:val="lowerRoman"/>
      <w:start w:val="2"/>
    </w:lvl>
  </w:abstractNum>
  <w:abstractNum w:abstractNumId="64">
    <w:nsid w:val="4C9B0904"/>
    <w:multiLevelType w:val="hybridMultilevel"/>
    <w:lvl w:ilvl="0">
      <w:lvlJc w:val="left"/>
      <w:lvlText w:val="(%1)"/>
      <w:numFmt w:val="lowerRoman"/>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1)"/>
      <w:numFmt w:val="decimal"/>
      <w:start w:val="2"/>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1)"/>
      <w:numFmt w:val="lowerRoman"/>
      <w:start w:val="2"/>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1)"/>
      <w:numFmt w:val="lowerLetter"/>
      <w:start w:val="1"/>
    </w:lvl>
  </w:abstractNum>
  <w:abstractNum w:abstractNumId="86">
    <w:nsid w:val="19E21BB2"/>
    <w:multiLevelType w:val="hybridMultilevel"/>
    <w:lvl w:ilvl="0">
      <w:lvlJc w:val="left"/>
      <w:lvlText w:val="(%1)"/>
      <w:numFmt w:val="lowerLetter"/>
      <w:start w:val="1"/>
    </w:lvl>
  </w:abstractNum>
  <w:abstractNum w:abstractNumId="87">
    <w:nsid w:val="75E0858A"/>
    <w:multiLevelType w:val="hybridMultilevel"/>
    <w:lvl w:ilvl="0">
      <w:lvlJc w:val="left"/>
      <w:lvlText w:val="(%1)"/>
      <w:numFmt w:val="lowerLetter"/>
      <w:start w:val="1"/>
    </w:lvl>
  </w:abstractNum>
  <w:abstractNum w:abstractNumId="88">
    <w:nsid w:val="57A61A29"/>
    <w:multiLevelType w:val="hybridMultilevel"/>
    <w:lvl w:ilvl="0">
      <w:lvlJc w:val="left"/>
      <w:lvlText w:val="(%1)"/>
      <w:numFmt w:val="lowerLetter"/>
      <w:start w:val="2"/>
    </w:lvl>
  </w:abstractNum>
  <w:abstractNum w:abstractNumId="89">
    <w:nsid w:val="5399C654"/>
    <w:multiLevelType w:val="hybridMultilevel"/>
    <w:lvl w:ilvl="0">
      <w:lvlJc w:val="left"/>
      <w:lvlText w:val="(%1)"/>
      <w:numFmt w:val="lowerLetter"/>
      <w:start w:val="1"/>
    </w:lvl>
  </w:abstractNum>
  <w:abstractNum w:abstractNumId="90">
    <w:nsid w:val="20EE1348"/>
    <w:multiLevelType w:val="hybridMultilevel"/>
    <w:lvl w:ilvl="0">
      <w:lvlJc w:val="left"/>
      <w:lvlText w:val="(%1)"/>
      <w:numFmt w:val="lowerLetter"/>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emdash "/>
      <w:numFmt w:val="bullet"/>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1)"/>
      <w:numFmt w:val="lowerRoman"/>
      <w:start w:val="3"/>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1)"/>
      <w:numFmt w:val="lowerRoman"/>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1."/>
      <w:numFmt w:val="decimal"/>
      <w:start w:val="1"/>
    </w:lvl>
  </w:abstractNum>
  <w:abstractNum w:abstractNumId="106">
    <w:nsid w:val="1849C29B"/>
    <w:multiLevelType w:val="hybridMultilevel"/>
    <w:lvl w:ilvl="0">
      <w:lvlJc w:val="left"/>
      <w:lvlText w:val="%1."/>
      <w:numFmt w:val="decimal"/>
      <w:start w:val="2"/>
    </w:lvl>
  </w:abstractNum>
  <w:abstractNum w:abstractNumId="107">
    <w:nsid w:val="7DFF9D09"/>
    <w:multiLevelType w:val="hybridMultilevel"/>
    <w:lvl w:ilvl="0">
      <w:lvlJc w:val="left"/>
      <w:lvlText w:val="%1."/>
      <w:numFmt w:val="decimal"/>
      <w:start w:val="2"/>
    </w:lvl>
  </w:abstractNum>
  <w:abstractNum w:abstractNumId="108">
    <w:nsid w:val="754342"/>
    <w:multiLevelType w:val="hybridMultilevel"/>
    <w:lvl w:ilvl="0">
      <w:lvlJc w:val="left"/>
      <w:lvlText w:val="(%1)"/>
      <w:numFmt w:val="lowerLetter"/>
      <w:start w:val="3"/>
    </w:lvl>
  </w:abstractNum>
  <w:abstractNum w:abstractNumId="109">
    <w:nsid w:val="69E7F3E5"/>
    <w:multiLevelType w:val="hybridMultilevel"/>
    <w:lvl w:ilvl="0">
      <w:lvlJc w:val="left"/>
      <w:lvlText w:val="(%1)"/>
      <w:numFmt w:val="lowerLetter"/>
      <w:start w:val="5"/>
    </w:lvl>
  </w:abstractNum>
  <w:abstractNum w:abstractNumId="110">
    <w:nsid w:val="2A6DE806"/>
    <w:multiLevelType w:val="hybridMultilevel"/>
    <w:lvl w:ilvl="0">
      <w:lvlJc w:val="left"/>
      <w:lvlText w:val="(%1)"/>
      <w:numFmt w:val="lowerLetter"/>
      <w:start w:val="6"/>
    </w:lvl>
  </w:abstractNum>
  <w:abstractNum w:abstractNumId="111">
    <w:nsid w:val="1816F8C4"/>
    <w:multiLevelType w:val="hybridMultilevel"/>
    <w:lvl w:ilvl="0">
      <w:lvlJc w:val="left"/>
      <w:lvlText w:val="%1."/>
      <w:numFmt w:val="decimal"/>
      <w:start w:val="2"/>
    </w:lvl>
  </w:abstractNum>
  <w:abstractNum w:abstractNumId="112">
    <w:nsid w:val="37DF2233"/>
    <w:multiLevelType w:val="hybridMultilevel"/>
    <w:lvl w:ilvl="0">
      <w:lvlJc w:val="left"/>
      <w:lvlText w:val="%1."/>
      <w:numFmt w:val="decimal"/>
      <w:start w:val="2"/>
    </w:lvl>
  </w:abstractNum>
  <w:abstractNum w:abstractNumId="113">
    <w:nsid w:val="7AB49DAF"/>
    <w:multiLevelType w:val="hybridMultilevel"/>
    <w:lvl w:ilvl="0">
      <w:lvlJc w:val="left"/>
      <w:lvlText w:val="(%1)"/>
      <w:numFmt w:val="lowerRoman"/>
      <w:start w:val="1"/>
    </w:lvl>
  </w:abstractNum>
  <w:abstractNum w:abstractNumId="114">
    <w:nsid w:val="759F82CD"/>
    <w:multiLevelType w:val="hybridMultilevel"/>
    <w:lvl w:ilvl="0">
      <w:lvlJc w:val="left"/>
      <w:lvlText w:val="(%1)"/>
      <w:numFmt w:val="lowerLetter"/>
      <w:start w:val="10"/>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1."/>
      <w:numFmt w:val="decimal"/>
      <w:start w:val="2"/>
    </w:lvl>
  </w:abstractNum>
  <w:abstractNum w:abstractNumId="117">
    <w:nsid w:val="F819E7F"/>
    <w:multiLevelType w:val="hybridMultilevel"/>
    <w:lvl w:ilvl="0">
      <w:lvlJc w:val="left"/>
      <w:lvlText w:val="%1."/>
      <w:numFmt w:val="decimal"/>
      <w:start w:val="2"/>
    </w:lvl>
  </w:abstractNum>
  <w:abstractNum w:abstractNumId="118">
    <w:nsid w:val="57C7D42D"/>
    <w:multiLevelType w:val="hybridMultilevel"/>
    <w:lvl w:ilvl="0">
      <w:lvlJc w:val="left"/>
      <w:lvlText w:val="%1."/>
      <w:numFmt w:val="decimal"/>
      <w:start w:val="2"/>
    </w:lvl>
  </w:abstractNum>
  <w:abstractNum w:abstractNumId="119">
    <w:nsid w:val="312167AD"/>
    <w:multiLevelType w:val="hybridMultilevel"/>
    <w:lvl w:ilvl="0">
      <w:lvlJc w:val="left"/>
      <w:lvlText w:val="(%1)"/>
      <w:numFmt w:val="lowerLetter"/>
      <w:start w:val="12"/>
    </w:lvl>
  </w:abstractNum>
  <w:abstractNum w:abstractNumId="120">
    <w:nsid w:val="631B64D4"/>
    <w:multiLevelType w:val="hybridMultilevel"/>
    <w:lvl w:ilvl="0">
      <w:lvlJc w:val="left"/>
      <w:lvlText w:val="%1."/>
      <w:numFmt w:val="decimal"/>
      <w:start w:val="2"/>
    </w:lvl>
  </w:abstractNum>
  <w:abstractNum w:abstractNumId="121">
    <w:nsid w:val="78B5E776"/>
    <w:multiLevelType w:val="hybridMultilevel"/>
    <w:lvl w:ilvl="0">
      <w:lvlJc w:val="left"/>
      <w:lvlText w:val="%1."/>
      <w:numFmt w:val="decimal"/>
      <w:start w:val="2"/>
    </w:lvl>
  </w:abstractNum>
  <w:abstractNum w:abstractNumId="122">
    <w:nsid w:val="75486E47"/>
    <w:multiLevelType w:val="hybridMultilevel"/>
    <w:lvl w:ilvl="0">
      <w:lvlJc w:val="left"/>
      <w:lvlText w:val="(%1)"/>
      <w:numFmt w:val="lowerLetter"/>
      <w:start w:val="18"/>
    </w:lvl>
  </w:abstractNum>
  <w:abstractNum w:abstractNumId="123">
    <w:nsid w:val="6E534CDE"/>
    <w:multiLevelType w:val="hybridMultilevel"/>
    <w:lvl w:ilvl="0">
      <w:lvlJc w:val="left"/>
      <w:lvlText w:val="(%1)"/>
      <w:numFmt w:val="lowerLetter"/>
      <w:start w:val="19"/>
    </w:lvl>
  </w:abstractNum>
  <w:abstractNum w:abstractNumId="124">
    <w:nsid w:val="1A0DDE32"/>
    <w:multiLevelType w:val="hybridMultilevel"/>
    <w:lvl w:ilvl="0">
      <w:lvlJc w:val="left"/>
      <w:lvlText w:val="(%1)"/>
      <w:numFmt w:val="lowerLetter"/>
      <w:start w:val="20"/>
    </w:lvl>
  </w:abstractNum>
  <w:abstractNum w:abstractNumId="125">
    <w:nsid w:val="65968C1C"/>
    <w:multiLevelType w:val="hybridMultilevel"/>
    <w:lvl w:ilvl="0">
      <w:lvlJc w:val="left"/>
      <w:lvlText w:val="%1."/>
      <w:numFmt w:val="decimal"/>
      <w:start w:val="2"/>
    </w:lvl>
  </w:abstractNum>
  <w:abstractNum w:abstractNumId="126">
    <w:nsid w:val="46263DEC"/>
    <w:multiLevelType w:val="hybridMultilevel"/>
    <w:lvl w:ilvl="0">
      <w:lvlJc w:val="left"/>
      <w:lvlText w:val="%1."/>
      <w:numFmt w:val="decimal"/>
      <w:start w:val="3"/>
    </w:lvl>
  </w:abstractNum>
  <w:abstractNum w:abstractNumId="127">
    <w:nsid w:val="260D8C4A"/>
    <w:multiLevelType w:val="hybridMultilevel"/>
    <w:lvl w:ilvl="0">
      <w:lvlJc w:val="left"/>
      <w:lvlText w:val="%1."/>
      <w:numFmt w:val="decimal"/>
      <w:start w:val="3"/>
    </w:lvl>
  </w:abstractNum>
  <w:abstractNum w:abstractNumId="128">
    <w:nsid w:val="73D4D3C4"/>
    <w:multiLevelType w:val="hybridMultilevel"/>
    <w:lvl w:ilvl="0">
      <w:lvlJc w:val="left"/>
      <w:lvlText w:val="%1."/>
      <w:numFmt w:val="decimal"/>
      <w:start w:val="4"/>
    </w:lvl>
  </w:abstractNum>
  <w:abstractNum w:abstractNumId="129">
    <w:nsid w:val="746F2E30"/>
    <w:multiLevelType w:val="hybridMultilevel"/>
    <w:lvl w:ilvl="0">
      <w:lvlJc w:val="left"/>
      <w:lvlText w:val="%1."/>
      <w:numFmt w:val="decimal"/>
      <w:start w:val="5"/>
    </w:lvl>
  </w:abstractNum>
  <w:abstractNum w:abstractNumId="130">
    <w:nsid w:val="6FDE8AF6"/>
    <w:multiLevelType w:val="hybridMultilevel"/>
    <w:lvl w:ilvl="0">
      <w:lvlJc w:val="left"/>
      <w:lvlText w:val="%1."/>
      <w:numFmt w:val="decimal"/>
      <w:start w:val="7"/>
    </w:lvl>
  </w:abstractNum>
  <w:abstractNum w:abstractNumId="131">
    <w:nsid w:val="3FC32E20"/>
    <w:multiLevelType w:val="hybridMultilevel"/>
    <w:lvl w:ilvl="0">
      <w:lvlJc w:val="left"/>
      <w:lvlText w:val="(%1)"/>
      <w:numFmt w:val="decimal"/>
      <w:start w:val="1"/>
    </w:lvl>
  </w:abstractNum>
  <w:abstractNum w:abstractNumId="132">
    <w:nsid w:val="49C0E823"/>
    <w:multiLevelType w:val="hybridMultilevel"/>
    <w:lvl w:ilvl="0">
      <w:lvlJc w:val="left"/>
      <w:lvlText w:val="%1."/>
      <w:numFmt w:val="decimal"/>
      <w:start w:val="8"/>
    </w:lvl>
  </w:abstractNum>
  <w:abstractNum w:abstractNumId="133">
    <w:nsid w:val="14D53685"/>
    <w:multiLevelType w:val="hybridMultilevel"/>
    <w:lvl w:ilvl="0">
      <w:lvlJc w:val="left"/>
      <w:lvlText w:val="%1."/>
      <w:numFmt w:val="decimal"/>
      <w:start w:val="9"/>
    </w:lvl>
  </w:abstractNum>
  <w:abstractNum w:abstractNumId="134">
    <w:nsid w:val="230F856C"/>
    <w:multiLevelType w:val="hybridMultilevel"/>
    <w:lvl w:ilvl="0">
      <w:lvlJc w:val="left"/>
      <w:lvlText w:val="%1."/>
      <w:numFmt w:val="decimal"/>
      <w:start w:val="9"/>
    </w:lvl>
  </w:abstractNum>
  <w:abstractNum w:abstractNumId="135">
    <w:nsid w:val="6EAA85FB"/>
    <w:multiLevelType w:val="hybridMultilevel"/>
    <w:lvl w:ilvl="0">
      <w:lvlJc w:val="left"/>
      <w:lvlText w:val="(%1)"/>
      <w:numFmt w:val="decimal"/>
      <w:start w:val="1"/>
    </w:lvl>
  </w:abstractNum>
  <w:abstractNum w:abstractNumId="136">
    <w:nsid w:val="3F06ECB2"/>
    <w:multiLevelType w:val="hybridMultilevel"/>
    <w:lvl w:ilvl="0">
      <w:lvlJc w:val="left"/>
      <w:lvlText w:val="(%1)"/>
      <w:numFmt w:val="decimal"/>
      <w:start w:val="1"/>
    </w:lvl>
  </w:abstractNum>
  <w:abstractNum w:abstractNumId="137">
    <w:nsid w:val="3B594807"/>
    <w:multiLevelType w:val="hybridMultilevel"/>
    <w:lvl w:ilvl="0">
      <w:lvlJc w:val="left"/>
      <w:lvlText w:val="(%1)"/>
      <w:numFmt w:val="decimal"/>
      <w:start w:val="1"/>
    </w:lvl>
  </w:abstractNum>
  <w:abstractNum w:abstractNumId="138">
    <w:nsid w:val="6CAA2304"/>
    <w:multiLevelType w:val="hybridMultilevel"/>
    <w:lvl w:ilvl="0">
      <w:lvlJc w:val="left"/>
      <w:lvlText w:val="(%1)"/>
      <w:numFmt w:val="decimal"/>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
      <w:numFmt w:val="bullet"/>
      <w:start w:val="1"/>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1)"/>
      <w:numFmt w:val="decimal"/>
      <w:start w:val="1"/>
    </w:lvl>
  </w:abstractNum>
  <w:abstractNum w:abstractNumId="144">
    <w:nsid w:val="11CCA8BA"/>
    <w:multiLevelType w:val="hybridMultilevel"/>
    <w:lvl w:ilvl="0">
      <w:lvlJc w:val="left"/>
      <w:lvlText w:val="(%1)"/>
      <w:numFmt w:val="decimal"/>
      <w:start w:val="1"/>
    </w:lvl>
  </w:abstractNum>
  <w:abstractNum w:abstractNumId="145">
    <w:nsid w:val="4D32AB86"/>
    <w:multiLevelType w:val="hybridMultilevel"/>
    <w:lvl w:ilvl="0">
      <w:lvlJc w:val="left"/>
      <w:lvlText w:val="•"/>
      <w:numFmt w:val="bullet"/>
      <w:start w:val="1"/>
    </w:lvl>
  </w:abstractNum>
  <w:abstractNum w:abstractNumId="146">
    <w:nsid w:val="3F07ACC3"/>
    <w:multiLevelType w:val="hybridMultilevel"/>
    <w:lvl w:ilvl="0">
      <w:lvlJc w:val="left"/>
      <w:lvlText w:val="(%1)"/>
      <w:numFmt w:val="lowerLetter"/>
      <w:start w:val="1"/>
    </w:lvl>
  </w:abstractNum>
  <w:abstractNum w:abstractNumId="147">
    <w:nsid w:val="6B47F63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8">
    <w:nsid w:val="5CB44A05"/>
    <w:multiLevelType w:val="hybridMultilevel"/>
    <w:lvl w:ilvl="0">
      <w:lvlJc w:val="left"/>
      <w:lvlText w:val="%1"/>
      <w:numFmt w:val="decimal"/>
      <w:start w:val="1"/>
    </w:lvl>
    <w:lvl w:ilvl="1">
      <w:lvlJc w:val="left"/>
      <w:lvlText w:val="(%2)"/>
      <w:numFmt w:val="lowerRoman"/>
      <w:start w:val="3"/>
    </w:lvl>
  </w:abstractNum>
  <w:abstractNum w:abstractNumId="149">
    <w:nsid w:val="16CF80F1"/>
    <w:multiLevelType w:val="hybridMultilevel"/>
    <w:lvl w:ilvl="0">
      <w:lvlJc w:val="left"/>
      <w:lvlText w:val="(%1)"/>
      <w:numFmt w:val="decimal"/>
      <w:start w:val="2"/>
    </w:lvl>
    <w:lvl w:ilvl="1">
      <w:lvlJc w:val="left"/>
      <w:lvlText w:val="%2"/>
      <w:numFmt w:val="lowerRoman"/>
      <w:start w:val="1"/>
    </w:lvl>
  </w:abstractNum>
  <w:abstractNum w:abstractNumId="150">
    <w:nsid w:val="1C695DEC"/>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51">
    <w:nsid w:val="3FCFAED9"/>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52">
    <w:nsid w:val="F85686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3">
    <w:nsid w:val="11B1CC33"/>
    <w:multiLevelType w:val="hybridMultilevel"/>
    <w:lvl w:ilvl="0">
      <w:lvlJc w:val="left"/>
      <w:lvlText w:val="**"/>
      <w:numFmt w:val="bullet"/>
      <w:start w:val="1"/>
    </w:lvl>
  </w:abstractNum>
  <w:abstractNum w:abstractNumId="154">
    <w:nsid w:val="2E22FBB7"/>
    <w:multiLevelType w:val="hybridMultilevel"/>
    <w:lvl w:ilvl="0">
      <w:lvlJc w:val="left"/>
      <w:lvlText w:val="%1."/>
      <w:numFmt w:val="decimal"/>
      <w:start w:val="1"/>
    </w:lvl>
    <w:lvl w:ilvl="1">
      <w:lvlJc w:val="left"/>
      <w:lvlText w:val="(%2)"/>
      <w:numFmt w:val="lowerRoman"/>
      <w:start w:val="1"/>
    </w:lvl>
  </w:abstractNum>
  <w:abstractNum w:abstractNumId="155">
    <w:nsid w:val="29934699"/>
    <w:multiLevelType w:val="hybridMultilevel"/>
    <w:lvl w:ilvl="0">
      <w:lvlJc w:val="left"/>
      <w:lvlText w:val="%1."/>
      <w:numFmt w:val="decimal"/>
      <w:start w:val="2"/>
    </w:lvl>
  </w:abstractNum>
  <w:abstractNum w:abstractNumId="156">
    <w:nsid w:val="77485850"/>
    <w:multiLevelType w:val="hybridMultilevel"/>
    <w:lvl w:ilvl="0">
      <w:lvlJc w:val="left"/>
      <w:lvlText w:val="(%1)"/>
      <w:numFmt w:val="lowerRoman"/>
      <w:start w:val="1"/>
    </w:lvl>
  </w:abstractNum>
  <w:abstractNum w:abstractNumId="157">
    <w:nsid w:val="744939A3"/>
    <w:multiLevelType w:val="hybridMultilevel"/>
    <w:lvl w:ilvl="0">
      <w:lvlJc w:val="left"/>
      <w:lvlText w:val="(%1)"/>
      <w:numFmt w:val="lowerRoman"/>
      <w:start w:val="4"/>
    </w:lvl>
  </w:abstractNum>
  <w:abstractNum w:abstractNumId="158">
    <w:nsid w:val="4FA0D2E3"/>
    <w:multiLevelType w:val="hybridMultilevel"/>
    <w:lvl w:ilvl="0">
      <w:lvlJc w:val="left"/>
      <w:lvlText w:val="(%1)"/>
      <w:numFmt w:val="lowerRoman"/>
      <w:start w:val="2"/>
    </w:lvl>
  </w:abstractNum>
  <w:abstractNum w:abstractNumId="159">
    <w:nsid w:val="6B1D2C14"/>
    <w:multiLevelType w:val="hybridMultilevel"/>
    <w:lvl w:ilvl="0">
      <w:lvlJc w:val="left"/>
      <w:lvlText w:val="%1."/>
      <w:numFmt w:val="decimal"/>
      <w:start w:val="3"/>
    </w:lvl>
  </w:abstractNum>
  <w:abstractNum w:abstractNumId="160">
    <w:nsid w:val="68B867D3"/>
    <w:multiLevelType w:val="hybridMultilevel"/>
    <w:lvl w:ilvl="0">
      <w:lvlJc w:val="left"/>
      <w:lvlText w:val="(%1)"/>
      <w:numFmt w:val="lowerLetter"/>
      <w:start w:val="2"/>
    </w:lvl>
  </w:abstractNum>
  <w:abstractNum w:abstractNumId="161">
    <w:nsid w:val="3F7F5DD9"/>
    <w:multiLevelType w:val="hybridMultilevel"/>
    <w:lvl w:ilvl="0">
      <w:lvlJc w:val="left"/>
      <w:lvlText w:val="(%1)"/>
      <w:numFmt w:val="lowerRoman"/>
      <w:start w:val="2"/>
    </w:lvl>
  </w:abstractNum>
  <w:abstractNum w:abstractNumId="162">
    <w:nsid w:val="2AE05A34"/>
    <w:multiLevelType w:val="hybridMultilevel"/>
    <w:lvl w:ilvl="0">
      <w:lvlJc w:val="left"/>
      <w:lvlText w:val="(%1)"/>
      <w:numFmt w:val="lowerRoman"/>
      <w:start w:val="1"/>
    </w:lvl>
  </w:abstractNum>
  <w:abstractNum w:abstractNumId="163">
    <w:nsid w:val="32794FF7"/>
    <w:multiLevelType w:val="hybridMultilevel"/>
    <w:lvl w:ilvl="0">
      <w:lvlJc w:val="left"/>
      <w:lvlText w:val="%1."/>
      <w:numFmt w:val="decimal"/>
      <w:start w:val="4"/>
    </w:lvl>
  </w:abstractNum>
  <w:abstractNum w:abstractNumId="164">
    <w:nsid w:val="5454945E"/>
    <w:multiLevelType w:val="hybridMultilevel"/>
    <w:lvl w:ilvl="0">
      <w:lvlJc w:val="left"/>
      <w:lvlText w:val="%1."/>
      <w:numFmt w:val="decimal"/>
      <w:start w:val="5"/>
    </w:lvl>
  </w:abstractNum>
  <w:abstractNum w:abstractNumId="165">
    <w:nsid w:val="4DEFDFA0"/>
    <w:multiLevelType w:val="hybridMultilevel"/>
    <w:lvl w:ilvl="0">
      <w:lvlJc w:val="left"/>
      <w:lvlText w:val="(%1)"/>
      <w:numFmt w:val="lowerRoman"/>
      <w:start w:val="1"/>
    </w:lvl>
  </w:abstractNum>
  <w:abstractNum w:abstractNumId="166">
    <w:nsid w:val="2123D5F2"/>
    <w:multiLevelType w:val="hybridMultilevel"/>
    <w:lvl w:ilvl="0">
      <w:lvlJc w:val="left"/>
      <w:lvlText w:val="%1."/>
      <w:numFmt w:val="decimal"/>
      <w:start w:val="6"/>
    </w:lvl>
  </w:abstractNum>
  <w:abstractNum w:abstractNumId="167">
    <w:nsid w:val="135B8110"/>
    <w:multiLevelType w:val="hybridMultilevel"/>
    <w:lvl w:ilvl="0">
      <w:lvlJc w:val="left"/>
      <w:lvlText w:val="%1."/>
      <w:numFmt w:val="decimal"/>
      <w:start w:val="7"/>
    </w:lvl>
  </w:abstractNum>
  <w:abstractNum w:abstractNumId="168">
    <w:nsid w:val="94927A8"/>
    <w:multiLevelType w:val="hybridMultilevel"/>
    <w:lvl w:ilvl="0">
      <w:lvlJc w:val="left"/>
      <w:lvlText w:val="%1."/>
      <w:numFmt w:val="decimal"/>
      <w:start w:val="8"/>
    </w:lvl>
  </w:abstractNum>
  <w:abstractNum w:abstractNumId="169">
    <w:nsid w:val="DCDF8F6"/>
    <w:multiLevelType w:val="hybridMultilevel"/>
    <w:lvl w:ilvl="0">
      <w:lvlJc w:val="left"/>
      <w:lvlText w:val="(%1)"/>
      <w:numFmt w:val="decimal"/>
      <w:start w:val="5"/>
    </w:lvl>
  </w:abstractNum>
  <w:abstractNum w:abstractNumId="170">
    <w:nsid w:val="52D7B105"/>
    <w:multiLevelType w:val="hybridMultilevel"/>
    <w:lvl w:ilvl="0">
      <w:lvlJc w:val="left"/>
      <w:lvlText w:val="%1."/>
      <w:numFmt w:val="decimal"/>
      <w:start w:val="9"/>
    </w:lvl>
  </w:abstractNum>
  <w:abstractNum w:abstractNumId="171">
    <w:nsid w:val="2E8A6394"/>
    <w:multiLevelType w:val="hybridMultilevel"/>
    <w:lvl w:ilvl="0">
      <w:lvlJc w:val="left"/>
      <w:lvlText w:val="(%1)"/>
      <w:numFmt w:val="lowerRoman"/>
      <w:start w:val="7"/>
    </w:lvl>
  </w:abstractNum>
  <w:abstractNum w:abstractNumId="172">
    <w:nsid w:val="24E6040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4" Type="http://schemas.openxmlformats.org/officeDocument/2006/relationships/image" Target="media/image215.png"/><Relationship Id="rId226" Type="http://schemas.openxmlformats.org/officeDocument/2006/relationships/image" Target="media/image216.png"/><Relationship Id="rId229" Type="http://schemas.openxmlformats.org/officeDocument/2006/relationships/image" Target="media/image217.png"/><Relationship Id="rId231"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40" Type="http://schemas.openxmlformats.org/officeDocument/2006/relationships/image" Target="media/image221.png"/><Relationship Id="rId242" Type="http://schemas.openxmlformats.org/officeDocument/2006/relationships/image" Target="media/image222.png"/><Relationship Id="rId245" Type="http://schemas.openxmlformats.org/officeDocument/2006/relationships/image" Target="media/image223.png"/><Relationship Id="rId248"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jpeg"/><Relationship Id="rId222" Type="http://schemas.openxmlformats.org/officeDocument/2006/relationships/hyperlink" Target="http://www.sec.gov/Archives/edgar/data/1983550/000101376223001433/ff12023ex3-1_trident.htm" TargetMode="External"/><Relationship Id="rId223" Type="http://schemas.openxmlformats.org/officeDocument/2006/relationships/hyperlink" Target="http://www.sec.gov/Archives/edgar/data/1983550/000101376223001433/ff12023ex3-2_trident.htm" TargetMode="External"/><Relationship Id="rId225" Type="http://schemas.openxmlformats.org/officeDocument/2006/relationships/hyperlink" Target="http://www.sec.gov/Archives/edgar/data/1983550/000101376223004960/ff12023a1ex4-3_trident.htm" TargetMode="External"/><Relationship Id="rId227" Type="http://schemas.openxmlformats.org/officeDocument/2006/relationships/hyperlink" Target="http://www.sec.gov/Archives/edgar/data/1983550/000101376223004960/ff12023a1ex4-2_trident.htm" TargetMode="External"/><Relationship Id="rId228" Type="http://schemas.openxmlformats.org/officeDocument/2006/relationships/hyperlink" Target="http://www.sec.gov/Archives/edgar/data/1983550/000121390024010696/ff12024a4ex5-1_trident.htm" TargetMode="External"/><Relationship Id="rId230" Type="http://schemas.openxmlformats.org/officeDocument/2006/relationships/hyperlink" Target="http://www.sec.gov/Archives/edgar/data/1983550/000101376223001433/ff12023ex99-2_trident.htm" TargetMode="External"/><Relationship Id="rId232" Type="http://schemas.openxmlformats.org/officeDocument/2006/relationships/hyperlink" Target="http://www.sec.gov/Archives/edgar/data/1983550/000101376223001433/ff12023ex10-1_trident.htm" TargetMode="External"/><Relationship Id="rId233" Type="http://schemas.openxmlformats.org/officeDocument/2006/relationships/hyperlink" Target="http://www.sec.gov/Archives/edgar/data/1983550/000101376223001433/ff12023ex10-2_trident.htm" TargetMode="External"/><Relationship Id="rId234" Type="http://schemas.openxmlformats.org/officeDocument/2006/relationships/hyperlink" Target="http://www.sec.gov/Archives/edgar/data/1983550/000101376223001433/ff12023ex10-3_trident.htm" TargetMode="External"/><Relationship Id="rId235" Type="http://schemas.openxmlformats.org/officeDocument/2006/relationships/hyperlink" Target="http://www.sec.gov/Archives/edgar/data/1983550/000101376223001433/ff12023ex21-1_trident.htm" TargetMode="External"/><Relationship Id="rId238" Type="http://schemas.openxmlformats.org/officeDocument/2006/relationships/hyperlink" Target="http://www.sec.gov/Archives/edgar/data/1983550/000101376223001433/ff12023_trident.htm#T7788" TargetMode="External"/><Relationship Id="rId239" Type="http://schemas.openxmlformats.org/officeDocument/2006/relationships/hyperlink" Target="http://www.sec.gov/Archives/edgar/data/1983550/000101376223001433/ff12023ex99-1_trident.htm" TargetMode="External"/><Relationship Id="rId241" Type="http://schemas.openxmlformats.org/officeDocument/2006/relationships/hyperlink" Target="http://www.sec.gov/Archives/edgar/data/1983550/000101376223001433/ff12023ex99-3_trident.htm" TargetMode="External"/><Relationship Id="rId243" Type="http://schemas.openxmlformats.org/officeDocument/2006/relationships/hyperlink" Target="http://www.sec.gov/Archives/edgar/data/1983550/000101376223001433/ff12023ex99-4_trident.htm" TargetMode="External"/><Relationship Id="rId244" Type="http://schemas.openxmlformats.org/officeDocument/2006/relationships/hyperlink" Target="http://www.sec.gov/Archives/edgar/data/1983550/000101376223001433/ff12023ex99-5_trident.htm" TargetMode="External"/><Relationship Id="rId246" Type="http://schemas.openxmlformats.org/officeDocument/2006/relationships/hyperlink" Target="http://www.sec.gov/Archives/edgar/data/1983550/000101376223001433/ff12023ex99-6_trident.htm" TargetMode="External"/><Relationship Id="rId247" Type="http://schemas.openxmlformats.org/officeDocument/2006/relationships/hyperlink" Target="http://www.sec.gov/Archives/edgar/data/1983550/000101376223001433/ff12023ex99-7_trident.htm" TargetMode="External"/><Relationship Id="rId249" Type="http://schemas.openxmlformats.org/officeDocument/2006/relationships/hyperlink" Target="http://www.sec.gov/Archives/edgar/data/1983550/000121390024004651/ff12024a3ex99-8_trident.htm" TargetMode="External"/><Relationship Id="rId250" Type="http://schemas.openxmlformats.org/officeDocument/2006/relationships/hyperlink" Target="http://www.sec.gov/Archives/edgar/data/1983550/000121390024015115/ea0200176ex99-9_tridentdigit.htm" TargetMode="External"/><Relationship Id="rId251" Type="http://schemas.openxmlformats.org/officeDocument/2006/relationships/hyperlink" Target="http://www.sec.gov/Archives/edgar/data/1983550/000121390024034256/ea020017605ex99-10_trident.htm" TargetMode="External"/><Relationship Id="rId252" Type="http://schemas.openxmlformats.org/officeDocument/2006/relationships/hyperlink" Target="http://www.sec.gov/Archives/edgar/data/1983550/000121390024010696/ff12024a4ex-fee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2024-07-09T12:59:44Z</dcterms:created>
  <dcterms:modified xsi:type="dcterms:W3CDTF">2024-07-09T12:59:44Z</dcterms:modified>
</cp:coreProperties>
</file>