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REPORT OF FOREIGN PRIVATE ISSUER PURSUANT TO RULE 13a-16 OR 15d-16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December 2025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001-41848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Trident Digital Tech Holdings Ltd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Suntec Tower 3,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8 Temasek Boulevard Road, #24-03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Singapore, 038988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200"/>
        <w:spacing w:after="0" w:line="207" w:lineRule="exact"/>
        <w:tabs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36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Trident Announces Results of Annual General Meeting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Trident Digital Tech Holdings Ltd (NASDAQ: TDTH) (“Trident” or the “Company”), a Singapore-based catalyst for digital transformation and Web 3.0 activation, today announced that it held its annual general meeting of shareholders (the “AGM”) on December 23, 2025.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 the AGM, the Company’s shareholders: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660" w:hanging="328"/>
        <w:spacing w:after="0" w:line="266" w:lineRule="auto"/>
        <w:tabs>
          <w:tab w:leader="none" w:pos="6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approved and adopted the Second Amended and Restated 2023 Equity Incentive Plan of the Company (as set forth in </w:t>
      </w:r>
      <w:hyperlink r:id="rId13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Exhibit 99.3</w:t>
        </w:r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auto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the Form 6-K filed by the Company with the Securities and Exchange Commission on November 20, 2025) to increase the number of shares available for awards from 137,500,000 to 230,191,250;</w:t>
      </w:r>
    </w:p>
    <w:p>
      <w:pPr>
        <w:spacing w:after="0" w:line="175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jc w:val="both"/>
        <w:ind w:left="660" w:hanging="328"/>
        <w:spacing w:after="0" w:line="257" w:lineRule="auto"/>
        <w:tabs>
          <w:tab w:leader="none" w:pos="6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approved that 500,000,000 blank shares be redesignated as 500,000,000 Class C ordinary shares of a par value of US$0.00001 each (the “Re-designation”). Following the Re-designation, the authorised share capital of the Company will be US$50,000.00 divided into 5,000,000,000 shares of a par value of US$0.00001 each, comprising (i) 1,000,000,000 are designated as Class A ordinary shares of a par value of US$0.00001 each,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jc w:val="both"/>
        <w:ind w:left="660" w:hanging="4"/>
        <w:spacing w:after="0" w:line="255" w:lineRule="auto"/>
        <w:tabs>
          <w:tab w:leader="none" w:pos="948" w:val="left"/>
        </w:tabs>
        <w:numPr>
          <w:ilvl w:val="1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3,000,000,000 are designated as Class B ordinary shares of a par value of US$0.00001 each, (iii) 500,000,000 are designated as Class C ordinary shares of a par value of US$0.00001 each and (iv) 500,000,000 shares of a par value of US$0.00001 each of such class or classes (however designated) as the board of directors may determine in accordance with the memorandum and articles of the Company; and</w:t>
      </w:r>
    </w:p>
    <w:p>
      <w:pPr>
        <w:spacing w:after="0" w:line="185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660" w:hanging="328"/>
        <w:spacing w:after="0" w:line="282" w:lineRule="auto"/>
        <w:tabs>
          <w:tab w:leader="none" w:pos="6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approved and adopted the Second Amended and Restated Memorandum and Articles of Association of the Company (as set forth in </w:t>
      </w:r>
      <w:hyperlink r:id="rId14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Exhibit 99.4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to the Form 6-K filed by the Company with the Securities and Exchange Commission on November 20, 2025).</w:t>
      </w:r>
    </w:p>
    <w:p>
      <w:pPr>
        <w:spacing w:after="0" w:line="378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0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Trident Digital Tech Holdings Ltd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/s/ Soon Huat Lim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4582795</wp:posOffset>
            </wp:positionH>
            <wp:positionV relativeFrom="paragraph">
              <wp:posOffset>17145</wp:posOffset>
            </wp:positionV>
            <wp:extent cx="2554605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Soon Huat Lim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7220"/>
        <w:spacing w:after="0"/>
        <w:tabs>
          <w:tab w:leader="none" w:pos="7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Chairman and Chief Executive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December 23, 2025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90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●"/>
      <w:numFmt w:val="bullet"/>
      <w:start w:val="1"/>
    </w:lvl>
    <w:lvl w:ilvl="1">
      <w:lvlJc w:val="left"/>
      <w:lvlText w:val="(%2)"/>
      <w:numFmt w:val="lowerRoman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s://www.sec.gov/Archives/edgar/data/1983550/000121390025112822/ea026614401ex99-3_trident.htm" TargetMode="External"/><Relationship Id="rId14" Type="http://schemas.openxmlformats.org/officeDocument/2006/relationships/hyperlink" Target="https://www.sec.gov/Archives/edgar/data/1983550/000121390025112822/ea026614401ex99-4_trident.htm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2025-12-23T05:40:04Z</dcterms:created>
  <dcterms:modified xsi:type="dcterms:W3CDTF">2025-12-23T05:40:04Z</dcterms:modified>
</cp:coreProperties>
</file>