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ff12024a3_tridentdigital.htm"/>
      <w:bookmarkStart w:id="1" w:name="ksff12024a3_tridentdigital"/>
      <w:bookmarkEnd w:id="0"/>
      <w:bookmarkEnd w:id="1"/>
      <w:r>
        <w:rPr>
          <w:rFonts w:ascii="Times New Roman PS Std;serif" w:hAnsi="Times New Roman PS Std;serif"/>
          <w:b/>
          <w:i w:val="false"/>
          <w:caps w:val="false"/>
          <w:smallCaps w:val="false"/>
          <w:sz w:val="20"/>
        </w:rPr>
        <w:t>As filed with the Securities and Exchange Commission on January 19, 2024.</w:t>
      </w:r>
    </w:p>
    <w:p>
      <w:pPr>
        <w:pStyle w:val="TextBody"/>
        <w:keepNext w:val="false"/>
        <w:pageBreakBefore w:val="false"/>
        <w:widowControl/>
        <w:pBdr/>
        <w:bidi w:val="0"/>
        <w:spacing w:before="4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333-274857</w:t>
      </w:r>
    </w:p>
    <w:p>
      <w:pPr>
        <w:pStyle w:val="TextBody"/>
        <w:keepNext w:val="true"/>
        <w:pageBreakBefore w:val="false"/>
        <w:widowControl/>
        <w:pBdr/>
        <w:bidi w:val="0"/>
        <w:spacing w:before="2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AND EXCHANGE COMMISSION</w:t>
        <w:br/>
        <w:t>WASHINGTON, D.C. 20549</w:t>
      </w:r>
    </w:p>
    <w:p>
      <w:pPr>
        <w:pStyle w:val="TextBody"/>
        <w:keepNext w:val="false"/>
        <w:pageBreakBefore w:val="false"/>
        <w:widowControl/>
        <w:pBdr/>
        <w:bidi w:val="0"/>
        <w:spacing w:before="0" w:after="283"/>
        <w:ind w:left="0" w:right="0" w:hanging="0"/>
        <w:jc w:val="center"/>
        <w:rPr>
          <w:caps w:val="false"/>
          <w:smallCaps w:val="false"/>
        </w:rPr>
      </w:pPr>
      <w:r>
        <w:rPr>
          <w:caps w:val="false"/>
          <w:smallCaps w:val="false"/>
        </w:rPr>
        <w:t>–––––––––––––––––––––––––––––––––––</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NO. 3</w:t>
        <w:br/>
        <w:t>TO</w:t>
        <w:br/>
        <w:t>FORM F-1</w:t>
        <w:br/>
        <w:t>REGISTRATION STATEMENT</w:t>
        <w:br/>
        <w:t>UNDER</w:t>
      </w:r>
      <w:r>
        <w:rPr>
          <w:rFonts w:ascii="Times New Roman PS Std;serif" w:hAnsi="Times New Roman PS Std;serif"/>
          <w:b/>
          <w:i/>
          <w:caps w:val="false"/>
          <w:smallCaps w:val="false"/>
          <w:sz w:val="20"/>
        </w:rPr>
        <w:br/>
      </w:r>
      <w:r>
        <w:rPr>
          <w:rFonts w:ascii="Times New Roman PS Std;serif" w:hAnsi="Times New Roman PS Std;serif"/>
          <w:b/>
          <w:i w:val="false"/>
          <w:caps w:val="false"/>
          <w:smallCaps w:val="false"/>
          <w:sz w:val="20"/>
        </w:rPr>
        <w:t>THE SECURITIES ACT OF 1933</w:t>
      </w:r>
    </w:p>
    <w:p>
      <w:pPr>
        <w:pStyle w:val="TextBody"/>
        <w:keepNext w:val="false"/>
        <w:pageBreakBefore w:val="false"/>
        <w:widowControl/>
        <w:pBdr/>
        <w:bidi w:val="0"/>
        <w:spacing w:before="20" w:after="283"/>
        <w:ind w:left="0" w:right="0" w:hanging="0"/>
        <w:jc w:val="center"/>
        <w:rPr>
          <w:rFonts w:ascii="Times New Roman PS Std;serif" w:hAnsi="Times New Roman PS Std;serif"/>
          <w:b w:val="false"/>
          <w:i w:val="false"/>
          <w:caps w:val="false"/>
          <w:smallCaps w:val="false"/>
          <w:sz w:val="12"/>
        </w:rPr>
      </w:pPr>
      <w:r>
        <w:rPr>
          <w:rFonts w:ascii="Times New Roman PS Std;serif" w:hAnsi="Times New Roman PS Std;serif"/>
          <w:b w:val="false"/>
          <w:i w:val="false"/>
          <w:caps w:val="false"/>
          <w:smallCaps w:val="false"/>
          <w:sz w:val="12"/>
        </w:rPr>
        <w:t>___________________________________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Trident Digital Tech Holdings Ltd</w:t>
        <w:br/>
      </w:r>
      <w:r>
        <w:rPr>
          <w:rFonts w:ascii="Times New Roman PS Std;serif" w:hAnsi="Times New Roman PS Std;serif"/>
          <w:b w:val="false"/>
          <w:i w:val="false"/>
          <w:caps w:val="false"/>
          <w:smallCaps w:val="false"/>
          <w:sz w:val="20"/>
        </w:rPr>
        <w:t>(Exact Name of Registrant as Specified in Its Charter)</w:t>
      </w:r>
    </w:p>
    <w:p>
      <w:pPr>
        <w:pStyle w:val="TextBody"/>
        <w:keepNext w:val="false"/>
        <w:pageBreakBefore w:val="false"/>
        <w:widowControl/>
        <w:pBdr/>
        <w:bidi w:val="0"/>
        <w:spacing w:before="40" w:after="283"/>
        <w:ind w:left="0" w:right="0" w:hanging="0"/>
        <w:jc w:val="center"/>
        <w:rPr>
          <w:caps w:val="false"/>
          <w:smallCaps w:val="false"/>
        </w:rPr>
      </w:pPr>
      <w:r>
        <w:rPr>
          <w:caps w:val="false"/>
          <w:smallCaps w:val="false"/>
        </w:rPr>
        <w: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br/>
      </w:r>
      <w:r>
        <w:rPr>
          <w:rFonts w:ascii="Times New Roman PS Std;serif" w:hAnsi="Times New Roman PS Std;serif"/>
          <w:b w:val="false"/>
          <w:i w:val="false"/>
          <w:caps w:val="false"/>
          <w:smallCaps w:val="false"/>
          <w:sz w:val="20"/>
        </w:rPr>
        <w:t>(Translation of Registrant’s Name into English)</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12"/>
        </w:rPr>
      </w:pPr>
      <w:r>
        <w:rPr>
          <w:rFonts w:ascii="Times New Roman PS Std;serif" w:hAnsi="Times New Roman PS Std;serif"/>
          <w:b w:val="false"/>
          <w:i w:val="false"/>
          <w:caps w:val="false"/>
          <w:smallCaps w:val="false"/>
          <w:sz w:val="12"/>
        </w:rPr>
        <w:t>___________________________________</w:t>
      </w:r>
    </w:p>
    <w:tbl>
      <w:tblPr>
        <w:tblW w:w="8590" w:type="dxa"/>
        <w:jc w:val="left"/>
        <w:tblInd w:w="0" w:type="dxa"/>
        <w:tblLayout w:type="fixed"/>
        <w:tblCellMar>
          <w:top w:w="0" w:type="dxa"/>
          <w:left w:w="0" w:type="dxa"/>
          <w:bottom w:w="0" w:type="dxa"/>
          <w:right w:w="0" w:type="dxa"/>
        </w:tblCellMar>
      </w:tblPr>
      <w:tblGrid>
        <w:gridCol w:w="3046"/>
        <w:gridCol w:w="146"/>
        <w:gridCol w:w="2911"/>
        <w:gridCol w:w="146"/>
        <w:gridCol w:w="2341"/>
      </w:tblGrid>
      <w:tr>
        <w:trPr/>
        <w:tc>
          <w:tcPr>
            <w:tcW w:w="30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7389</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0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(State or Other Jurisdiction of </w:t>
              <w:br/>
              <w:t>Incorporation or Organization)</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(Primary Standard Industrial </w:t>
              <w:br/>
              <w:t>Classification Code Number)</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(IRS Employer </w:t>
              <w:br/>
              <w:t>Identification Number)</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Suntec Tower 3,</w:t>
        <w:br/>
        <w:t>8 Temasek Boulevard Road, #24-03</w:t>
        <w:br/>
        <w:t>Singapore, 038988</w:t>
        <w:br/>
        <w:t>+65 6513 6868</w:t>
        <w:br/>
      </w:r>
      <w:r>
        <w:rPr>
          <w:rFonts w:ascii="Times New Roman PS Std;serif" w:hAnsi="Times New Roman PS Std;serif"/>
          <w:b w:val="false"/>
          <w:i w:val="false"/>
          <w:caps w:val="false"/>
          <w:smallCaps w:val="false"/>
          <w:sz w:val="20"/>
        </w:rPr>
        <w:t>(Address, Including Zip Code, and Telephone Number, Including Area Code, of Registrant’s Principal Executive Offices)</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12"/>
        </w:rPr>
      </w:pPr>
      <w:r>
        <w:rPr>
          <w:rFonts w:ascii="Times New Roman PS Std;serif" w:hAnsi="Times New Roman PS Std;serif"/>
          <w:b w:val="false"/>
          <w:i w:val="false"/>
          <w:caps w:val="false"/>
          <w:smallCaps w:val="false"/>
          <w:sz w:val="12"/>
        </w:rPr>
        <w:t>___________________________________</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Cogency Global Inc.</w:t>
        <w:br/>
        <w:t>122 East 42nd Street, 18th Floor</w:t>
        <w:br/>
        <w:t>New York, NY 10168</w:t>
        <w:br/>
        <w:t>(800) 221-0102</w:t>
      </w:r>
    </w:p>
    <w:p>
      <w:pPr>
        <w:pStyle w:val="TextBody"/>
        <w:keepNext w:val="true"/>
        <w:pageBreakBefore w:val="false"/>
        <w:widowControl/>
        <w:pBdr/>
        <w:bidi w:val="0"/>
        <w:spacing w:before="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12"/>
        </w:rPr>
      </w:pPr>
      <w:r>
        <w:rPr>
          <w:rFonts w:ascii="Times New Roman PS Std;serif" w:hAnsi="Times New Roman PS Std;serif"/>
          <w:b w:val="false"/>
          <w:i w:val="false"/>
          <w:caps w:val="false"/>
          <w:smallCaps w:val="false"/>
          <w:sz w:val="12"/>
        </w:rPr>
        <w:t>___________________________________</w:t>
      </w:r>
    </w:p>
    <w:p>
      <w:pPr>
        <w:pStyle w:val="TextBody"/>
        <w:keepNext w:val="true"/>
        <w:pageBreakBefore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tbl>
      <w:tblPr>
        <w:tblW w:w="8008" w:type="dxa"/>
        <w:jc w:val="left"/>
        <w:tblInd w:w="0" w:type="dxa"/>
        <w:tblLayout w:type="fixed"/>
        <w:tblCellMar>
          <w:top w:w="0" w:type="dxa"/>
          <w:left w:w="0" w:type="dxa"/>
          <w:bottom w:w="0" w:type="dxa"/>
          <w:right w:w="0" w:type="dxa"/>
        </w:tblCellMar>
      </w:tblPr>
      <w:tblGrid>
        <w:gridCol w:w="3301"/>
        <w:gridCol w:w="146"/>
        <w:gridCol w:w="4561"/>
      </w:tblGrid>
      <w:tr>
        <w:trPr/>
        <w:tc>
          <w:tcPr>
            <w:tcW w:w="3301" w:type="dxa"/>
            <w:tcBorders/>
          </w:tcPr>
          <w:p>
            <w:pPr>
              <w:pStyle w:val="TableContents"/>
              <w:keepNext w:val="false"/>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Stephanie Tang, Esq.</w:t>
              <w:br/>
              <w:t>Hogan Lovells</w:t>
              <w:br/>
              <w:t>11th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 One Pacific Place</w:t>
              <w:br/>
              <w:t>88 Queensway Road</w:t>
              <w:br/>
              <w:t>Hong Kong</w:t>
              <w:br/>
              <w:t>+852 2219 0888</w:t>
            </w:r>
          </w:p>
        </w:tc>
        <w:tc>
          <w:tcPr>
            <w:tcW w:w="146" w:type="dxa"/>
            <w:tcBorders/>
          </w:tcPr>
          <w:p>
            <w:pPr>
              <w:pStyle w:val="TableContents"/>
              <w:bidi w:val="0"/>
              <w:spacing w:before="0" w:after="283"/>
              <w:jc w:val="left"/>
              <w:rPr/>
            </w:pPr>
            <w:r>
              <w:rPr/>
              <w:t> </w:t>
            </w:r>
          </w:p>
        </w:tc>
        <w:tc>
          <w:tcPr>
            <w:tcW w:w="4561" w:type="dxa"/>
            <w:tcBorders/>
          </w:tcPr>
          <w:p>
            <w:pPr>
              <w:pStyle w:val="TableContents"/>
              <w:keepNext w:val="false"/>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Ross David Carmel, Esq.</w:t>
              <w:br/>
              <w:t>Barry P. Biggar, Esq.</w:t>
              <w:br/>
              <w:t>Sichenzia Ross Ference Carmel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LLP</w:t>
              <w:br/>
              <w:t>1185 Avenue of the Americas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w:t>
              <w:br/>
              <w:t>New York, NY 10036</w:t>
              <w:br/>
              <w:t>+1 212 930 9700</w:t>
            </w:r>
          </w:p>
        </w:tc>
      </w:tr>
    </w:tbl>
    <w:p>
      <w:pPr>
        <w:pStyle w:val="TextBody"/>
        <w:keepNext w:val="false"/>
        <w:pageBreakBefore w:val="false"/>
        <w:widowControl/>
        <w:pBdr/>
        <w:bidi w:val="0"/>
        <w:spacing w:before="40" w:after="283"/>
        <w:ind w:left="0" w:right="0" w:hanging="0"/>
        <w:jc w:val="center"/>
        <w:rPr>
          <w:caps w:val="false"/>
          <w:smallCaps w:val="false"/>
        </w:rPr>
      </w:pPr>
      <w:r>
        <w:rPr>
          <w:caps w:val="false"/>
          <w:smallCaps w:val="false"/>
        </w:rPr>
        <w:t>–––––––––––––––––––––––––––––––––––</w:t>
      </w:r>
    </w:p>
    <w:p>
      <w:pPr>
        <w:pStyle w:val="TextBody"/>
        <w:keepNext w:val="false"/>
        <w:pageBreakBefore w:val="false"/>
        <w:widowControl/>
        <w:pBdr/>
        <w:bidi w:val="0"/>
        <w:spacing w:before="40" w:after="283"/>
        <w:ind w:left="0" w:right="0" w:firstLine="48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Approximate date of commencement of proposed sale to the public: as soon as practicable after the effective date of this registration statement.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Indicate by check mark whether the registrant is an emerging growth company as defined in Rule 405 of the Securities Act of 1933.</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Emerging growth company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term “new or revised financial accounting standard” refers to any update issued by the Financial Accounting Standards Board to its Accounting Standards Codification after April 5, 2012.</w:t>
      </w:r>
    </w:p>
    <w:p>
      <w:pPr>
        <w:pStyle w:val="TextBody"/>
        <w:keepNext w:val="false"/>
        <w:pageBreakBefore w:val="false"/>
        <w:widowControl/>
        <w:pBdr/>
        <w:bidi w:val="0"/>
        <w:spacing w:before="60" w:after="283"/>
        <w:ind w:left="0" w:right="0" w:firstLine="48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pStyle w:val="TextBody"/>
        <w:keepNext w:val="false"/>
        <w:pageBreakBefore w:val="false"/>
        <w:widowControl/>
        <w:pBdr/>
        <w:bidi w:val="0"/>
        <w:spacing w:before="0" w:after="283"/>
        <w:ind w:left="0" w:right="0" w:firstLine="480"/>
        <w:jc w:val="left"/>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color w:val="D2232A"/>
          <w:sz w:val="20"/>
        </w:rPr>
        <w:t>PRELIMINARY PROSPECTUS (Subject to Completion)</w:t>
        <w:br/>
      </w:r>
      <w:r>
        <w:rPr>
          <w:rFonts w:ascii="Times New Roman PS Std;serif" w:hAnsi="Times New Roman PS Std;serif"/>
          <w:b w:val="false"/>
          <w:i w:val="false"/>
          <w:caps w:val="false"/>
          <w:smallCaps w:val="false"/>
          <w:color w:val="D2232A"/>
          <w:sz w:val="20"/>
        </w:rPr>
        <w:t>Dated January 19, 2024.</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1,875,000 American Depositary Shares</w:t>
      </w:r>
    </w:p>
    <w:p>
      <w:pPr>
        <w:pStyle w:val="TextBody"/>
        <w:keepNext w:val="true"/>
        <w:pageBreakBefore w:val="false"/>
        <w:widowControl/>
        <w:pBdr/>
        <w:bidi w:val="0"/>
        <w:spacing w:before="100" w:after="283"/>
        <w:jc w:val="center"/>
        <w:rPr>
          <w:caps w:val="false"/>
          <w:smallCaps w:val="false"/>
        </w:rPr>
      </w:pPr>
      <w:r>
        <w:rPr>
          <w:caps w:val="false"/>
          <w:smallCaps w:val="false"/>
        </w:rPr>
        <w:drawing>
          <wp:inline distT="0" distB="0" distL="0" distR="0">
            <wp:extent cx="4381500" cy="9721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81500" cy="972185"/>
                    </a:xfrm>
                    <a:prstGeom prst="rect">
                      <a:avLst/>
                    </a:prstGeom>
                  </pic:spPr>
                </pic:pic>
              </a:graphicData>
            </a:graphic>
          </wp:inline>
        </w:drawing>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Trident Digital Tech Holdings Ltd</w:t>
      </w:r>
    </w:p>
    <w:p>
      <w:pPr>
        <w:pStyle w:val="TextBody"/>
        <w:keepNext w:val="false"/>
        <w:pageBreakBefore w:val="false"/>
        <w:widowControl/>
        <w:pBdr/>
        <w:bidi w:val="0"/>
        <w:spacing w:before="80" w:after="283"/>
        <w:ind w:left="0" w:right="0" w:hanging="0"/>
        <w:jc w:val="center"/>
        <w:rPr>
          <w:rFonts w:ascii="Times New Roman PS Std;serif" w:hAnsi="Times New Roman PS Std;serif"/>
          <w:b w:val="false"/>
          <w:i w:val="false"/>
          <w:caps w:val="false"/>
          <w:smallCaps w:val="false"/>
          <w:sz w:val="12"/>
        </w:rPr>
      </w:pPr>
      <w:r>
        <w:rPr>
          <w:rFonts w:ascii="Times New Roman PS Std;serif" w:hAnsi="Times New Roman PS Std;serif"/>
          <w:b w:val="false"/>
          <w:i w:val="false"/>
          <w:caps w:val="false"/>
          <w:smallCaps w:val="false"/>
          <w:sz w:val="12"/>
        </w:rPr>
        <w:t>___________________________________</w:t>
      </w:r>
    </w:p>
    <w:tbl>
      <w:tblPr>
        <w:tblW w:w="7255" w:type="dxa"/>
        <w:jc w:val="left"/>
        <w:tblInd w:w="0" w:type="dxa"/>
        <w:tblLayout w:type="fixed"/>
        <w:tblCellMar>
          <w:top w:w="0" w:type="dxa"/>
          <w:left w:w="0" w:type="dxa"/>
          <w:bottom w:w="0" w:type="dxa"/>
          <w:right w:w="0" w:type="dxa"/>
        </w:tblCellMar>
      </w:tblPr>
      <w:tblGrid>
        <w:gridCol w:w="1921"/>
        <w:gridCol w:w="146"/>
        <w:gridCol w:w="1606"/>
        <w:gridCol w:w="146"/>
        <w:gridCol w:w="3436"/>
      </w:tblGrid>
      <w:tr>
        <w:trPr/>
        <w:tc>
          <w:tcPr>
            <w:tcW w:w="192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Representing</w:t>
            </w:r>
          </w:p>
        </w:tc>
        <w:tc>
          <w:tcPr>
            <w:tcW w:w="146" w:type="dxa"/>
            <w:tcBorders/>
          </w:tcPr>
          <w:p>
            <w:pPr>
              <w:pStyle w:val="TableContents"/>
              <w:bidi w:val="0"/>
              <w:spacing w:before="0" w:after="283"/>
              <w:jc w:val="left"/>
              <w:rPr/>
            </w:pPr>
            <w:r>
              <w:rPr/>
              <w:t> </w:t>
            </w:r>
          </w:p>
        </w:tc>
        <w:tc>
          <w:tcPr>
            <w:tcW w:w="160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18,750,000</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Class B Ordinary Shares</w:t>
            </w:r>
          </w:p>
        </w:tc>
      </w:tr>
    </w:tbl>
    <w:p>
      <w:pPr>
        <w:pStyle w:val="TextBody"/>
        <w:keepNext w:val="false"/>
        <w:pageBreakBefore w:val="false"/>
        <w:widowControl/>
        <w:pBdr/>
        <w:bidi w:val="0"/>
        <w:spacing w:before="80" w:after="283"/>
        <w:ind w:left="0" w:right="0" w:hanging="0"/>
        <w:jc w:val="center"/>
        <w:rPr>
          <w:rFonts w:ascii="Times New Roman PS Std;serif" w:hAnsi="Times New Roman PS Std;serif"/>
          <w:b w:val="false"/>
          <w:i w:val="false"/>
          <w:caps w:val="false"/>
          <w:smallCaps w:val="false"/>
          <w:sz w:val="12"/>
        </w:rPr>
      </w:pPr>
      <w:r>
        <w:rPr>
          <w:rFonts w:ascii="Times New Roman PS Std;serif" w:hAnsi="Times New Roman PS Std;serif"/>
          <w:b w:val="false"/>
          <w:i w:val="false"/>
          <w:caps w:val="false"/>
          <w:smallCaps w:val="false"/>
          <w:sz w:val="12"/>
        </w:rPr>
        <w:t>___________________________________</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This is the initial public offering of American depositary shares, or ADSs, of Trident Digital Tech Holdings Ltd. We are offering 1,875,000 ADSs. Each ADS represents ten Class B ordinary shares, par value US$0.00001 per share. We anticipate that the initial public offering price per ADS will be between US$8.00 and US$10.00.</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Prior to this offering, there has been no public market for our ADSs or our Class B ordinary shares. We have submitted an application to list the ADSs on the Nasdaq Capital Market under the symbol “TDTH.” We cannot guarantee that we will be successful in listing our ADSs on the Nasdaq Capital Market; however, we will not complete this offering unless we are so listed.</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Following the completion of this offering, our issued and outstanding share capital will consist of 50,000,000 Class A ordinary shares and 470,714,286 Class B ordinary shares.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Soon Huat Lim will beneficially own all of our issued Class A ordinary shares and will be able to exercise 94.4% of the total voting power of our issued and outstanding share capital immediately following the completion of this offering. As a result,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Soon Huat Lim, such Class A ordinary shares will be automatically and immediately converted into the same number of Class B ordinary share. See “Description of Share Capital.” Immediately following the completion of this offering,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We are an “emerging growth company” under applicable U.S. federal securities laws and are eligible for reduced public company reporting requirements.</w:t>
      </w:r>
    </w:p>
    <w:p>
      <w:pPr>
        <w:pStyle w:val="TextBody"/>
        <w:keepNext w:val="false"/>
        <w:pageBreakBefore w:val="false"/>
        <w:widowControl/>
        <w:pBdr/>
        <w:bidi w:val="0"/>
        <w:spacing w:before="80" w:after="283"/>
        <w:ind w:left="0" w:right="0" w:hanging="0"/>
        <w:jc w:val="center"/>
        <w:rPr>
          <w:caps w:val="false"/>
          <w:smallCaps w:val="false"/>
        </w:rPr>
      </w:pPr>
      <w:r>
        <w:rPr>
          <w:caps w:val="false"/>
          <w:smallCaps w:val="false"/>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ADSs involves risks. See “</w:t>
      </w:r>
      <w:r>
        <w:rPr>
          <w:rFonts w:ascii="Times New Roman PS Std;serif" w:hAnsi="Times New Roman PS Std;serif"/>
          <w:b/>
          <w:i/>
          <w:caps w:val="false"/>
          <w:smallCaps w:val="false"/>
          <w:sz w:val="20"/>
          <w:u w:val="single"/>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11.</w:t>
      </w:r>
    </w:p>
    <w:p>
      <w:pPr>
        <w:pStyle w:val="TextBody"/>
        <w:keepNext w:val="true"/>
        <w:pageBreakBefore w:val="false"/>
        <w:widowControl/>
        <w:pBdr/>
        <w:bidi w:val="0"/>
        <w:spacing w:before="120" w:after="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PRICE US$            PER ADS</w:t>
      </w:r>
    </w:p>
    <w:p>
      <w:pPr>
        <w:pStyle w:val="TextBody"/>
        <w:keepNext w:val="false"/>
        <w:pageBreakBefore w:val="false"/>
        <w:widowControl/>
        <w:pBdr/>
        <w:bidi w:val="0"/>
        <w:spacing w:before="0" w:after="283"/>
        <w:ind w:left="0" w:right="0" w:hanging="0"/>
        <w:jc w:val="center"/>
        <w:rPr>
          <w:caps w:val="false"/>
          <w:smallCaps w:val="false"/>
        </w:rPr>
      </w:pPr>
      <w:r>
        <w:rPr>
          <w:caps w:val="false"/>
          <w:smallCaps w:val="false"/>
        </w:rPr>
        <w:t>–––––––––––––––––––––––––––––––––––</w:t>
      </w:r>
    </w:p>
    <w:tbl>
      <w:tblPr>
        <w:tblW w:w="5800" w:type="dxa"/>
        <w:jc w:val="left"/>
        <w:tblInd w:w="0" w:type="dxa"/>
        <w:tblLayout w:type="fixed"/>
        <w:tblCellMar>
          <w:top w:w="0" w:type="dxa"/>
          <w:left w:w="0" w:type="dxa"/>
          <w:bottom w:w="0" w:type="dxa"/>
          <w:right w:w="0" w:type="dxa"/>
        </w:tblCellMar>
      </w:tblPr>
      <w:tblGrid>
        <w:gridCol w:w="4021"/>
        <w:gridCol w:w="146"/>
        <w:gridCol w:w="856"/>
        <w:gridCol w:w="146"/>
        <w:gridCol w:w="631"/>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Per ADS</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Initial public offering price</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Underwriting discounts and commissions</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Proceeds, before expenses, to us</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       See “Underwriting” for additional disclosure regarding underwriting compensation payable by us.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We expect our total cash expenses for this offering (including cash expenses payable to our underwriters for their out-of-pocket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expenses) to be approximately US$            , exclusive of the above discounts and commissions. In addition, we will pay additional items of value in connection with this offering that are viewed by the Financial Industry Regulatory Authority, or FINRA, as underwriting compensation. These payments will further reduce proceeds available to us before expenses. See “Underwriting.”</w:t>
      </w:r>
    </w:p>
    <w:p>
      <w:pPr>
        <w:pStyle w:val="TextBody"/>
        <w:keepNext w:val="false"/>
        <w:pageBreakBefore w:val="false"/>
        <w:widowControl/>
        <w:pBdr/>
        <w:bidi w:val="0"/>
        <w:spacing w:before="120" w:after="283"/>
        <w:ind w:left="0" w:right="0" w:firstLine="48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underwriters expect to deliver the ADSs against payment in U.S. dollars to purchasers on or about            , 2024.</w:t>
      </w:r>
    </w:p>
    <w:p>
      <w:pPr>
        <w:pStyle w:val="TextBody"/>
        <w:keepNext w:val="true"/>
        <w:pageBreakBefore w:val="false"/>
        <w:widowControl/>
        <w:pBdr/>
        <w:bidi w:val="0"/>
        <w:spacing w:before="160" w:after="283"/>
        <w:jc w:val="center"/>
        <w:rPr>
          <w:caps w:val="false"/>
          <w:smallCaps w:val="false"/>
        </w:rPr>
      </w:pPr>
      <w:r>
        <w:rPr>
          <w:caps w:val="false"/>
          <w:smallCaps w:val="false"/>
        </w:rPr>
        <w:drawing>
          <wp:inline distT="0" distB="0" distL="0" distR="0">
            <wp:extent cx="1466850" cy="4235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6850" cy="42354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 dated            , 2024</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[Page intentionally left blank for graphics]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7">
              <w:r>
                <w:rPr>
                  <w:rStyle w:val="InternetLink"/>
                  <w:rFonts w:ascii="Times New Roman PS Std;serif" w:hAnsi="Times New Roman PS Std;serif"/>
                  <w:b w:val="false"/>
                  <w:i w:val="false"/>
                  <w:caps w:val="false"/>
                  <w:smallCaps w:val="false"/>
                  <w:sz w:val="20"/>
                </w:rPr>
                <w:t>PROSPECTUS SUMMARY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6">
              <w:r>
                <w:rPr>
                  <w:rStyle w:val="InternetLink"/>
                  <w:rFonts w:ascii="Times New Roman PS Std;serif" w:hAnsi="Times New Roman PS Std;serif"/>
                  <w:b w:val="false"/>
                  <w:i w:val="false"/>
                  <w:caps w:val="false"/>
                  <w:smallCaps w:val="false"/>
                  <w:sz w:val="20"/>
                </w:rPr>
                <w:t>RISK FACTORS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5">
              <w:r>
                <w:rPr>
                  <w:rStyle w:val="InternetLink"/>
                  <w:rFonts w:ascii="Times New Roman PS Std;serif" w:hAnsi="Times New Roman PS Std;serif"/>
                  <w:b w:val="false"/>
                  <w:i w:val="false"/>
                  <w:caps w:val="false"/>
                  <w:smallCaps w:val="false"/>
                  <w:sz w:val="20"/>
                </w:rPr>
                <w:t>SPECIAL NOTE REGARDING FORWARD-LOOKING STATEMENTS AND INDUSTRY DATA</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4">
              <w:r>
                <w:rPr>
                  <w:rStyle w:val="InternetLink"/>
                  <w:rFonts w:ascii="Times New Roman PS Std;serif" w:hAnsi="Times New Roman PS Std;serif"/>
                  <w:b w:val="false"/>
                  <w:i w:val="false"/>
                  <w:caps w:val="false"/>
                  <w:smallCaps w:val="false"/>
                  <w:sz w:val="20"/>
                </w:rPr>
                <w:t>USE OF PROCEEDS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3">
              <w:r>
                <w:rPr>
                  <w:rStyle w:val="InternetLink"/>
                  <w:rFonts w:ascii="Times New Roman PS Std;serif" w:hAnsi="Times New Roman PS Std;serif"/>
                  <w:b w:val="false"/>
                  <w:i w:val="false"/>
                  <w:caps w:val="false"/>
                  <w:smallCaps w:val="false"/>
                  <w:sz w:val="20"/>
                </w:rPr>
                <w:t>DIVIDEND POLICY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2">
              <w:r>
                <w:rPr>
                  <w:rStyle w:val="InternetLink"/>
                  <w:rFonts w:ascii="Times New Roman PS Std;serif" w:hAnsi="Times New Roman PS Std;serif"/>
                  <w:b w:val="false"/>
                  <w:i w:val="false"/>
                  <w:caps w:val="false"/>
                  <w:smallCaps w:val="false"/>
                  <w:sz w:val="20"/>
                </w:rPr>
                <w:t>CAPITALIZATION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DILUTION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ENFORCEABILITY OF CIVIL LIABILITIES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CORPORATE HISTORY AND STRUCTURE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SELECTED CONSOLIDATED FINANCIAL DATA</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INDUSTRY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BUSINESS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REGULATION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MANAGEMENT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PRINCIPAL SHAREHOLDERS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RELATED PARTY TRANSACTIONS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DESCRIPTION OF SHARE CAPITAL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DESCRIPTION OF AMERICAN DEPOSITARY SHARES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SHARES ELIGIBLE FOR FUTURE SALE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TAXATION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UNDERWRITING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EXPENSES RELATED TO THIS OFFERING</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LEGAL MATTERS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EXPERTS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WHERE YOU CAN FIND ADDITIONAL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INDEX TO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any of the underwriters have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Until             , 2024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25th</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3" w:name="T27"/>
      <w:bookmarkEnd w:id="3"/>
      <w:r>
        <w:rPr>
          <w:rFonts w:ascii="Times New Roman PS Std;serif" w:hAnsi="Times New Roman PS Std;serif"/>
          <w:b/>
          <w:i w:val="false"/>
          <w:caps w:val="false"/>
          <w:smallCaps w:val="false"/>
          <w:sz w:val="20"/>
          <w:bdr w:val="single" w:sz="8" w:space="10" w:color="000000"/>
        </w:rPr>
        <w:t>PROSPECTUS SUMMARY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Business consulting:    </w:t>
      </w:r>
      <w:r>
        <w:rPr>
          <w:rFonts w:ascii="Times New Roman PS Std;serif" w:hAnsi="Times New Roman PS Std;serif"/>
          <w:b w:val="false"/>
          <w:i w:val="false"/>
          <w:caps w:val="false"/>
          <w:smallCaps w:val="false"/>
          <w:sz w:val="20"/>
          <w:bdr w:val="single" w:sz="8" w:space="10" w:color="00000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IT customization:    </w:t>
      </w:r>
      <w:r>
        <w:rPr>
          <w:rFonts w:ascii="Times New Roman PS Std;serif" w:hAnsi="Times New Roman PS Std;serif"/>
          <w:b w:val="false"/>
          <w:i w:val="false"/>
          <w:caps w:val="false"/>
          <w:smallCaps w:val="false"/>
          <w:sz w:val="20"/>
          <w:bdr w:val="single" w:sz="8" w:space="10" w:color="00000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the fourth quarter of 2023. We believe Tridentity addresses a massive market opportunity today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Strengths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the following strengths have contributed to our continued success: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leading digital transformation enabler in the SME segment of the e-commerce enablement and digital optimizing services market in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proprietary technology architecture;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unique perspective and efficient operational capabilities;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seasoned and visionary management team with international perspective.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intend to further grow our business by pursuing the following strategies: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capitalize on a generational shift to Web 3.0;</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expand and grow our client base;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broaden our geographical reach;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selectively pursue strategic acquisitions.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Business and Industry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rapid growth may not be sustainable or indicative of our future growth. Our business could be harmed if we fail to manage our infrastructure to support future growth.</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Substantially all of our revenues are generated by sales to clients in our targeted verticals, and factors, including Singapore and global market and economic conditions, that adversely affect the applicable industry could also adversely affect 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not able to introduce new features or services successfully and to make enhancements to our solutions and services, our business and results of operations could be adversely affected.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face intense competition, which could limit our ability to maintain or expand market share within our industry, and if we do not maintain or expand our market share, our business, financial condition, and operating results will be harmed.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expect fluctuations in our operating results, making it difficult to project future results, and if we fail to meet the expectations of securities analysts or investors with respect to our operating results, the market price of our ADSs could decline.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business, financial condition, and results of operations are subject to risks associated with rising interest rates, which could negatively impact our ability to maintain the current financing and obtain additional financing.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might not implement our growth strategies successfully which would limit our growth and cause the market price of our ADS to decline.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Interruptions or performance problems associated with our infrastructure may adversely affect our business, results of operations and financial condition.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depend on the reliable performance of Internet infrastructure, bandwidth providers, data center providers, cloud providers, mobile infrastructure, and other third parties.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business generates and processes a large amount of consumer data, and the improper use, collection or disclosure of such data could subject us to significant reputational, financial, legal and operational consequences.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Failure to protect our intellectual property or proprietary rights could substantially harm our business and results of operations.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rely on the performance of senior management team and highly skilled personnel; if we are unable to retain or motivate key personnel or hire, retain and motivate qualified personnel, our business would be harmed.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subject to legal proceedings in the ordinary course of our business. If the outcomes of these proceedings are adverse to us, it could have a material adverse effect on our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the Jurisdictions Where We Operate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exposed to risks in respect of acts of war, terrorist attacks, epidemics, political unrest, natural disasters, adverse weather and other uncontrollable events.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ADSs and This Offering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active trading market for our ordinary shares or our ADSs may not develop and the trading price for our ADSs may fluctuate significantly.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an emerging growth company within the meaning of the Securities Act and may take advantage of certain reduced reporting requirements.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will be a “controlled company” under the Nasdaq Stock Market Rules upon the completion of this offering and, as a result, may rely on exemptions from certain corporate governance requirements that provide protection to shareholders of other companies.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a company incorporated in the Cayman Islands, we are permitted to adopt certain home country practices in relation to corporate governance matters that differ significantly from the Nasdaq Stock Market Rules.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History and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completion of the reorganization, Quality Zone Technologies Pte. Ltd. became a wholly-owned subsidiary of Trident Digital Tech Holdings Ltd and Trident Digital Tech Pte. Ltd. became a wholly-owned subsidiary of Quality Zone Technologies Pte. Ltd.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diagram below illustrates our corporate structure as of the date of this prospectus:</w:t>
      </w:r>
    </w:p>
    <w:p>
      <w:pPr>
        <w:pStyle w:val="TextBody"/>
        <w:keepNext w:val="false"/>
        <w:pageBreakBefore w:val="false"/>
        <w:widowControl/>
        <w:pBdr/>
        <w:bidi w:val="0"/>
        <w:spacing w:before="160" w:after="283"/>
        <w:jc w:val="center"/>
        <w:rPr>
          <w:caps w:val="false"/>
          <w:smallCaps w:val="false"/>
          <w:bdr w:val="single" w:sz="8" w:space="10" w:color="000000"/>
        </w:rPr>
      </w:pPr>
      <w:r>
        <w:rPr>
          <w:caps w:val="false"/>
          <w:smallCaps w:val="false"/>
          <w:bdr w:val="single" w:sz="8" w:space="10" w:color="000000"/>
        </w:rPr>
        <w:drawing>
          <wp:inline distT="0" distB="0" distL="0" distR="0">
            <wp:extent cx="3371850" cy="20694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371850" cy="2069465"/>
                    </a:xfrm>
                    <a:prstGeom prst="rect">
                      <a:avLst/>
                    </a:prstGeom>
                  </pic:spPr>
                </pic:pic>
              </a:graphicData>
            </a:graphic>
          </wp:inline>
        </w:drawing>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 of Being an Emerging Growth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Controlled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completion of this offering, Mr. Soon Huat Lim, our founder, chairman of board of directors and chief executive officer will beneficially own 62.3% of our total issued and outstanding ordinary shares, representing 94.4% of the total voting power. As a result, Mr. Soon Huat Lim will have the ability to control or significantly influence the outcome of matters requiring approval by shareholders. As a result, we will be a “controlled company” as defined under the Nasdaq Stock Market Rules because Mr. Lim will hold more than 50% of the voting power for the election of directors. As a “controlled company,” we are permitted to elect not to comply with certain corporate governance requirements. If we rely on these exemptions, including an exemption from the requirement that a majority of our board of directors must be independent directors, you will not have the same protection afforded to shareholders of companies that are subject to these corporate governance requirements. See “Risk Factors — Risks Relating to Our ADSs and This Offering — We will be a “controlled company” under the Nasdaq Stock Market Rules upon the completion of this offering and, as a result, may rely on exemptions from certain corporate governance requirements that provide protection to shareholders of other companies.” Even if we cease to be a controlled company, we may still rely on exemptions available to foreign private issuers, including being able to adopt home country practices in relation to corporate governance matters and an exemption from the requirement that a majority of our board of directors must be independent directors. See the section of this prospectus captioned “— Implications of Being a Foreign Private Issuer.”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Foreign Private Issuer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Stock Market Rules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 is located at Suntec Tower 3, 8 Temasek Boulevard Road, #24-03, Singapore, 038988. Our telephone number at this address is +65 8813 1312. Our registered office in the Cayman Islands is located at the Office of Maples Corporate Services Limited, PO Box 309, Ugland House, Grand Cayman, KY1-1104, Cayman Islands. Our agent for service of process in the United States is Cogency Global Inc., located at 122 East 42nd Street, 18th Floor, New York, NY 10168.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Investors should contact us for any inquiries through the address and telephone number of our principal executive offices. Our website is </w:t>
      </w:r>
      <w:r>
        <w:rPr>
          <w:rFonts w:ascii="Times New Roman PS Std;serif" w:hAnsi="Times New Roman PS Std;serif"/>
          <w:b w:val="false"/>
          <w:i/>
          <w:caps w:val="false"/>
          <w:smallCaps w:val="false"/>
          <w:sz w:val="20"/>
          <w:bdr w:val="single" w:sz="8" w:space="10" w:color="000000"/>
        </w:rPr>
        <w:t>https://tridentity.me</w:t>
      </w:r>
      <w:r>
        <w:rPr>
          <w:rFonts w:ascii="Times New Roman PS Std;serif" w:hAnsi="Times New Roman PS Std;serif"/>
          <w:b w:val="false"/>
          <w:i w:val="false"/>
          <w:caps w:val="false"/>
          <w:smallCaps w:val="false"/>
          <w:sz w:val="20"/>
          <w:bdr w:val="single" w:sz="8" w:space="10" w:color="000000"/>
        </w:rPr>
        <w:t>. The information contained on our website is not a part of this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Conventions That Apply To This Prospectus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Except where the context otherwise requires and for purposes of this prospectus only: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ADRs” refers to the American depositary receipts that evidence our ADSs;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ADSs” refers to our American depositary shares, each of which represents ten Class B ordinary shares;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CAGR” refers to compound annual growth rate;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Class A ordinary shares” refers to our Class A ordinary shares, par value US$0.00001 per share;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Class B ordinary shares” refers to our Class B ordinary shares, par value US$0.00001 per share;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GDP” refers to gross domestic product;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IMDA” refers to Infocomm Media Development Authority, a statutory board under the Singapore Ministry of Communications and Information of the Republic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ordinary shares” refers to our Class A and Class B ordinary shares, par value US$0.00001 per share;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QZT” refers to Quality Zone Technologies Pte. Ltd., a company incorporated in Singapore, and a direct wholly-owned subsidiary of our Company;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 or “SGD” refers to the Singapore dollar, the legal currency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SEC” refers to the United States Securities and Exchange Commission;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Singapore” refers to the Republic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SME” refers to small and medium enterprises;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Trident Singapore” refers to Trident Digital Tech Pte. Ltd., a company incorporated in Singapore, and an indirect wholly-owned subsidiary of our Company;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 “$,” “dollars,” or “U.S. dollars” refers to the legal currency of the United States;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 GAAP” refers to generally accepted accounting principles in the United States;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“us,” “our company,” the “Company,” “Trident Cayman” and “our” refer to Trident Digital Tech Holdings Ltd, a Cayman Islands company and its subsidiaries.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SGD1.3404 to US$1.00, the noon buying rate on December 31, 2022,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OFFERING</w:t>
      </w:r>
    </w:p>
    <w:tbl>
      <w:tblPr>
        <w:tblW w:w="10205" w:type="dxa"/>
        <w:jc w:val="left"/>
        <w:tblInd w:w="0" w:type="dxa"/>
        <w:tblLayout w:type="fixed"/>
        <w:tblCellMar>
          <w:top w:w="0" w:type="dxa"/>
          <w:left w:w="0" w:type="dxa"/>
          <w:bottom w:w="0" w:type="dxa"/>
          <w:right w:w="0" w:type="dxa"/>
        </w:tblCellMar>
      </w:tblPr>
      <w:tblGrid>
        <w:gridCol w:w="1998"/>
        <w:gridCol w:w="146"/>
        <w:gridCol w:w="8061"/>
      </w:tblGrid>
      <w:tr>
        <w:trPr/>
        <w:tc>
          <w:tcPr>
            <w:tcW w:w="1998"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Price</w:t>
            </w:r>
          </w:p>
        </w:tc>
        <w:tc>
          <w:tcPr>
            <w:tcW w:w="146" w:type="dxa"/>
            <w:tcBorders/>
          </w:tcPr>
          <w:p>
            <w:pPr>
              <w:pStyle w:val="TableContents"/>
              <w:bidi w:val="0"/>
              <w:spacing w:before="0" w:after="283"/>
              <w:jc w:val="left"/>
              <w:rPr/>
            </w:pPr>
            <w:r>
              <w:rPr/>
              <w:t> </w:t>
            </w:r>
          </w:p>
        </w:tc>
        <w:tc>
          <w:tcPr>
            <w:tcW w:w="806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the initial public offering price will be between US$8.00 and US$10.00 per ADS.</w:t>
            </w:r>
          </w:p>
        </w:tc>
      </w:tr>
      <w:tr>
        <w:trPr/>
        <w:tc>
          <w:tcPr>
            <w:tcW w:w="199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ADSs offered by us</w:t>
            </w:r>
          </w:p>
        </w:tc>
        <w:tc>
          <w:tcPr>
            <w:tcW w:w="146" w:type="dxa"/>
            <w:tcBorders/>
          </w:tcPr>
          <w:p>
            <w:pPr>
              <w:pStyle w:val="TableContents"/>
              <w:bidi w:val="0"/>
              <w:spacing w:before="0" w:after="283"/>
              <w:jc w:val="left"/>
              <w:rPr/>
            </w:pPr>
            <w:r>
              <w:rPr/>
              <w:t> </w:t>
            </w:r>
          </w:p>
        </w:tc>
        <w:tc>
          <w:tcPr>
            <w:tcW w:w="80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1,875,000 ADSs.</w:t>
            </w:r>
          </w:p>
        </w:tc>
      </w:tr>
      <w:tr>
        <w:trPr/>
        <w:tc>
          <w:tcPr>
            <w:tcW w:w="199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ADSs Outstanding immediately after this offering</w:t>
            </w:r>
          </w:p>
        </w:tc>
        <w:tc>
          <w:tcPr>
            <w:tcW w:w="146" w:type="dxa"/>
            <w:tcBorders/>
          </w:tcPr>
          <w:p>
            <w:pPr>
              <w:pStyle w:val="TableContents"/>
              <w:bidi w:val="0"/>
              <w:spacing w:before="0" w:after="283"/>
              <w:jc w:val="left"/>
              <w:rPr/>
            </w:pPr>
            <w:r>
              <w:rPr/>
              <w:t> </w:t>
            </w:r>
          </w:p>
        </w:tc>
        <w:tc>
          <w:tcPr>
            <w:tcW w:w="80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1,875,000 ADSs.</w:t>
            </w:r>
          </w:p>
        </w:tc>
      </w:tr>
      <w:tr>
        <w:trPr/>
        <w:tc>
          <w:tcPr>
            <w:tcW w:w="199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immediately after this offering</w:t>
            </w:r>
          </w:p>
        </w:tc>
        <w:tc>
          <w:tcPr>
            <w:tcW w:w="146" w:type="dxa"/>
            <w:tcBorders/>
          </w:tcPr>
          <w:p>
            <w:pPr>
              <w:pStyle w:val="TableContents"/>
              <w:bidi w:val="0"/>
              <w:spacing w:before="0" w:after="283"/>
              <w:jc w:val="left"/>
              <w:rPr/>
            </w:pPr>
            <w:r>
              <w:rPr/>
              <w:t> </w:t>
            </w:r>
          </w:p>
        </w:tc>
        <w:tc>
          <w:tcPr>
            <w:tcW w:w="80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50,000,000 Class A ordinary shares and 470,714,286 Class B ordinary shares.</w:t>
            </w:r>
          </w:p>
        </w:tc>
      </w:tr>
      <w:tr>
        <w:trPr/>
        <w:tc>
          <w:tcPr>
            <w:tcW w:w="199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w:t>
            </w:r>
          </w:p>
        </w:tc>
        <w:tc>
          <w:tcPr>
            <w:tcW w:w="146" w:type="dxa"/>
            <w:tcBorders/>
          </w:tcPr>
          <w:p>
            <w:pPr>
              <w:pStyle w:val="TableContents"/>
              <w:bidi w:val="0"/>
              <w:spacing w:before="0" w:after="283"/>
              <w:jc w:val="left"/>
              <w:rPr/>
            </w:pPr>
            <w:r>
              <w:rPr/>
              <w:t> </w:t>
            </w:r>
          </w:p>
        </w:tc>
        <w:tc>
          <w:tcPr>
            <w:tcW w:w="80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ADS represents ten Class B ordinary shares, par value US$0.00001 per share. The ADSs generally are uncertificated.</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hold the Class B ordinary shares underlying your ADSs and you will have rights as provided in the deposit agreement.</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declare dividends on our Class B ordinary shares, the depositary will pay you the cash dividends and other distributions it receives on our Class B ordinary shares, after deducting its fees and expenses in accordance with the terms set forth in the deposit agreement.</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surrender your ADSs to the depositary in exchange for our Class B ordinary shares. The depositary will charge you fees for any exchange. We may amend or terminate the deposit agreement without your consent. If you continue to hold your ADSs, you agree to be bound by the deposit agreement as amended.</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tc>
      </w:tr>
      <w:tr>
        <w:trPr/>
        <w:tc>
          <w:tcPr>
            <w:tcW w:w="1998"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0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we will receive net proceeds of approximately US$14.47 million from this offering, after deducting the underwriting discounts, commissions, and estimated offering expenses payable by us and assuming an initial public offering price of US$9.00 per ADS, being the mid-point of the estimated range of the initial public offering price shown on the front cover of this prospectus.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use the net proceeds we receive from this offering to invest in research and development, the Singapore market, and for general corporate purposes. See “Use of Proceeds” for additional information.</w:t>
            </w:r>
          </w:p>
        </w:tc>
      </w:tr>
      <w:tr>
        <w:trPr/>
        <w:tc>
          <w:tcPr>
            <w:tcW w:w="1998"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Lock-up</w:t>
            </w:r>
          </w:p>
        </w:tc>
        <w:tc>
          <w:tcPr>
            <w:tcW w:w="146" w:type="dxa"/>
            <w:tcBorders/>
          </w:tcPr>
          <w:p>
            <w:pPr>
              <w:pStyle w:val="TableContents"/>
              <w:bidi w:val="0"/>
              <w:spacing w:before="0" w:after="283"/>
              <w:jc w:val="left"/>
              <w:rPr/>
            </w:pPr>
            <w:r>
              <w:rPr/>
              <w:t> </w:t>
            </w:r>
          </w:p>
        </w:tc>
        <w:tc>
          <w:tcPr>
            <w:tcW w:w="80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our directors and executive officers, and shareholders holding 5% or more of our ordinary shares are expected to enter into lock-up agreements with the Underwriter not to sell, transfer, or dispose of any Class B ordinary shares for a period of up to six months after this offering is completed. See “Underwriting” for more information.</w:t>
            </w:r>
          </w:p>
        </w:tc>
      </w:tr>
      <w:tr>
        <w:trPr/>
        <w:tc>
          <w:tcPr>
            <w:tcW w:w="199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0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“Risk Factors” and other information included in this prospectus for a discussion of the risks you should carefully consider before investing in the ADSs.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500"/>
        <w:gridCol w:w="146"/>
        <w:gridCol w:w="8559"/>
      </w:tblGrid>
      <w:tr>
        <w:trPr/>
        <w:tc>
          <w:tcPr>
            <w:tcW w:w="150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Listing</w:t>
            </w:r>
          </w:p>
        </w:tc>
        <w:tc>
          <w:tcPr>
            <w:tcW w:w="146" w:type="dxa"/>
            <w:tcBorders/>
          </w:tcPr>
          <w:p>
            <w:pPr>
              <w:pStyle w:val="TableContents"/>
              <w:bidi w:val="0"/>
              <w:spacing w:before="0" w:after="283"/>
              <w:jc w:val="left"/>
              <w:rPr/>
            </w:pPr>
            <w:r>
              <w:rPr/>
              <w:t> </w:t>
            </w:r>
          </w:p>
        </w:tc>
        <w:tc>
          <w:tcPr>
            <w:tcW w:w="855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apply to have the ADSs listed on the Nasdaq Capital Market under the symbol “TDTH.” Our ADSs and Class B ordinary shares will not be listed on any other stock exchanges or traded on any automated quotation system.</w:t>
            </w:r>
          </w:p>
        </w:tc>
      </w:tr>
      <w:tr>
        <w:trPr/>
        <w:tc>
          <w:tcPr>
            <w:tcW w:w="1500"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and Settlement</w:t>
            </w:r>
          </w:p>
        </w:tc>
        <w:tc>
          <w:tcPr>
            <w:tcW w:w="146" w:type="dxa"/>
            <w:tcBorders/>
          </w:tcPr>
          <w:p>
            <w:pPr>
              <w:pStyle w:val="TableContents"/>
              <w:bidi w:val="0"/>
              <w:spacing w:before="0" w:after="283"/>
              <w:jc w:val="left"/>
              <w:rPr/>
            </w:pPr>
            <w:r>
              <w:rPr/>
              <w:t> </w:t>
            </w:r>
          </w:p>
        </w:tc>
        <w:tc>
          <w:tcPr>
            <w:tcW w:w="855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are expected to be delivered against payment on            , 2024. They will be registered in the name of a nominee of The Depository Trust Company, or DTC.</w:t>
            </w:r>
          </w:p>
        </w:tc>
      </w:tr>
      <w:tr>
        <w:trPr/>
        <w:tc>
          <w:tcPr>
            <w:tcW w:w="1500"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Depositary</w:t>
            </w:r>
          </w:p>
        </w:tc>
        <w:tc>
          <w:tcPr>
            <w:tcW w:w="146" w:type="dxa"/>
            <w:tcBorders/>
          </w:tcPr>
          <w:p>
            <w:pPr>
              <w:pStyle w:val="TableContents"/>
              <w:bidi w:val="0"/>
              <w:spacing w:before="0" w:after="283"/>
              <w:jc w:val="left"/>
              <w:rPr/>
            </w:pPr>
            <w:r>
              <w:rPr/>
              <w:t> </w:t>
            </w:r>
          </w:p>
        </w:tc>
        <w:tc>
          <w:tcPr>
            <w:tcW w:w="855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Citibank, N.A.</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number of ordinary shares that will be issued and outstanding immediately after this offering: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is based on 501,964,286 issued and outstanding ordinary shares as of the date of this prospectus;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includes 18,750,000 Class B ordinary shares in the form of ADSs that we will issue and sell in this offering;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CONSOLIDATED FINANCIAL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following table presents our summary consolidated statements of operations data for the periods indicated. </w:t>
      </w:r>
    </w:p>
    <w:tbl>
      <w:tblPr>
        <w:tblW w:w="10205" w:type="dxa"/>
        <w:jc w:val="left"/>
        <w:tblInd w:w="0" w:type="dxa"/>
        <w:tblLayout w:type="fixed"/>
        <w:tblCellMar>
          <w:top w:w="0" w:type="dxa"/>
          <w:left w:w="0" w:type="dxa"/>
          <w:bottom w:w="0" w:type="dxa"/>
          <w:right w:w="0" w:type="dxa"/>
        </w:tblCellMar>
      </w:tblPr>
      <w:tblGrid>
        <w:gridCol w:w="2604"/>
        <w:gridCol w:w="146"/>
        <w:gridCol w:w="241"/>
        <w:gridCol w:w="1306"/>
        <w:gridCol w:w="196"/>
        <w:gridCol w:w="146"/>
        <w:gridCol w:w="241"/>
        <w:gridCol w:w="1306"/>
        <w:gridCol w:w="196"/>
        <w:gridCol w:w="146"/>
        <w:gridCol w:w="241"/>
        <w:gridCol w:w="1306"/>
        <w:gridCol w:w="196"/>
        <w:gridCol w:w="146"/>
        <w:gridCol w:w="241"/>
        <w:gridCol w:w="1306"/>
        <w:gridCol w:w="241"/>
      </w:tblGrid>
      <w:tr>
        <w:trPr/>
        <w:tc>
          <w:tcPr>
            <w:tcW w:w="26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26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481,165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475,123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(389,569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(378,896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91,596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96,227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(253,343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(71,530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(1,551,710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(170,817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(192,855</w:t>
            </w:r>
          </w:p>
        </w:tc>
        <w:tc>
          <w:tcPr>
            <w:tcW w:w="19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(80,883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(1,997,908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(323,230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 income,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23,742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156,220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21,158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71,019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155,475</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44,900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70,300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before income tax expense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(1,861,412</w:t>
            </w:r>
          </w:p>
        </w:tc>
        <w:tc>
          <w:tcPr>
            <w:tcW w:w="19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(156,703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(1,861,412</w:t>
            </w:r>
          </w:p>
        </w:tc>
        <w:tc>
          <w:tcPr>
            <w:tcW w:w="19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(156,703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34,853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29,661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(1,826,559</w:t>
            </w:r>
          </w:p>
        </w:tc>
        <w:tc>
          <w:tcPr>
            <w:tcW w:w="19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(153,220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summary consolidated balance sheet data as of the dates indicated.</w:t>
      </w:r>
    </w:p>
    <w:tbl>
      <w:tblPr>
        <w:tblW w:w="9477" w:type="dxa"/>
        <w:jc w:val="left"/>
        <w:tblInd w:w="0" w:type="dxa"/>
        <w:tblLayout w:type="fixed"/>
        <w:tblCellMar>
          <w:top w:w="0" w:type="dxa"/>
          <w:left w:w="0" w:type="dxa"/>
          <w:bottom w:w="0" w:type="dxa"/>
          <w:right w:w="0" w:type="dxa"/>
        </w:tblCellMar>
      </w:tblPr>
      <w:tblGrid>
        <w:gridCol w:w="4276"/>
        <w:gridCol w:w="146"/>
        <w:gridCol w:w="241"/>
        <w:gridCol w:w="1291"/>
        <w:gridCol w:w="181"/>
        <w:gridCol w:w="146"/>
        <w:gridCol w:w="241"/>
        <w:gridCol w:w="991"/>
        <w:gridCol w:w="146"/>
        <w:gridCol w:w="241"/>
        <w:gridCol w:w="1336"/>
        <w:gridCol w:w="241"/>
      </w:tblGrid>
      <w:tr>
        <w:trPr/>
        <w:tc>
          <w:tcPr>
            <w:tcW w:w="42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9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4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3,965,607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540,496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995,563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437,299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166,436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422,242</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6,179,955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424,656</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9,524,598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471,332</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11,093,048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(3,226,191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selected consolidated statements of cash flow data for the periods indicated.</w:t>
      </w:r>
    </w:p>
    <w:tbl>
      <w:tblPr>
        <w:tblW w:w="10205" w:type="dxa"/>
        <w:jc w:val="left"/>
        <w:tblInd w:w="0" w:type="dxa"/>
        <w:tblLayout w:type="fixed"/>
        <w:tblCellMar>
          <w:top w:w="0" w:type="dxa"/>
          <w:left w:w="0" w:type="dxa"/>
          <w:bottom w:w="0" w:type="dxa"/>
          <w:right w:w="0" w:type="dxa"/>
        </w:tblCellMar>
      </w:tblPr>
      <w:tblGrid>
        <w:gridCol w:w="3851"/>
        <w:gridCol w:w="146"/>
        <w:gridCol w:w="226"/>
        <w:gridCol w:w="1066"/>
        <w:gridCol w:w="181"/>
        <w:gridCol w:w="146"/>
        <w:gridCol w:w="226"/>
        <w:gridCol w:w="928"/>
        <w:gridCol w:w="181"/>
        <w:gridCol w:w="146"/>
        <w:gridCol w:w="226"/>
        <w:gridCol w:w="1141"/>
        <w:gridCol w:w="181"/>
        <w:gridCol w:w="146"/>
        <w:gridCol w:w="226"/>
        <w:gridCol w:w="961"/>
        <w:gridCol w:w="227"/>
      </w:tblGrid>
      <w:tr>
        <w:trPr/>
        <w:tc>
          <w:tcPr>
            <w:tcW w:w="38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54"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3108"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3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35"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41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(2,380,926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(27,514</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(79,043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5,426,739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(118,326</w:t>
            </w:r>
          </w:p>
        </w:tc>
        <w:tc>
          <w:tcPr>
            <w:tcW w:w="22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32,401</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3,020,342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(113,439</w:t>
            </w:r>
          </w:p>
        </w:tc>
        <w:tc>
          <w:tcPr>
            <w:tcW w:w="22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273,593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3,965,607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160,154</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26"/>
      <w:bookmarkEnd w:id="4"/>
      <w:r>
        <w:rPr>
          <w:rFonts w:ascii="Times New Roman PS Std;serif" w:hAnsi="Times New Roman PS Std;serif"/>
          <w:b/>
          <w:i w:val="false"/>
          <w:caps w:val="false"/>
          <w:smallCaps w:val="false"/>
          <w:sz w:val="20"/>
        </w:rPr>
        <w:t>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and Industry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rapid growth may not be sustainable or indicative of our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could be harmed if we fail to manage our infrastructure to support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Substantially all of our revenues are generated by sales to clients in our targeted verticals, and factors, including Singapore and global market and economic conditions, that adversely affect the applicable industry could also adversely affect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substantially all of our sales are to clients in the e-commerce, food and beverage, fintech, healthcare and service, wholesale and retail industries</w:t>
      </w:r>
      <w:r>
        <w:rPr>
          <w:rFonts w:ascii="Times New Roman PS Std;serif" w:hAnsi="Times New Roman PS Std;serif"/>
          <w:b w:val="false"/>
          <w:i/>
          <w:caps w:val="false"/>
          <w:smallCaps w:val="false"/>
          <w:sz w:val="20"/>
        </w:rPr>
        <w:t xml:space="preserve">. </w:t>
      </w:r>
      <w:r>
        <w:rPr>
          <w:rFonts w:ascii="Times New Roman PS Std;serif" w:hAnsi="Times New Roman PS Std;serif"/>
          <w:b w:val="false"/>
          <w:i w:val="false"/>
          <w:caps w:val="false"/>
          <w:smallCaps w:val="false"/>
          <w:sz w:val="20"/>
        </w:rPr>
        <w:t>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not able to introduce new features or services successfully and to make enhancements to our solutions and services, our business and results of operations could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attract new clients and increase revenue from existing clients depends in part on our ability to enhance and improve our solutions and to introduce new features and services. For example, we introduced Tridentity, our Web 3.0-enabled e-commerce platform whereby customers and merchants can transact in a transparent and secure way, in the fourth quarter of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 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solutions, services or pricing models may not accurately reflect the optimal pricing necessary to attract new clients and retain existing clients as the market matures.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offer high-quality client support, if we experience complaints regarding our client support or if our support is more expensive than anticipated, our business and reputation could suffer.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Real or perceived errors, failures or bugs in our solutions could adversely affect our business, results of operations, financial condition, and growth prospects.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face intense competition, which could limit our ability to maintain or expand market share within our industry, and if we do not maintain or expand our market share, our business, financial condition, and operating results will be harmed.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in light of these advantages, even if our solutions and services are more effective than the offerings of our competitors, current or potential clients might accept our competitors’ offerings in lieu of purchasing our solutions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incurred net losses on an annual basis since we were founded, anticipate increasing our operating expenses in the future, and may not achieve or sustain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net loss of approximately US$1.13 million and US$1.86 million in fiscal year 2022 and the six months ended June 30, 2023, respectively. We must generate and sustain higher revenue levels in future periods to become profitable, and, even if we do, we may not be able to maintain or increase our profitability. We expect to continue to incur losses for the foreseeable future as we expend substantial financial and other resources on,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and marketing, including expanding our direct sales team and online marketing programs;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investments in the development of new solutions and new features for, and enhancements of, our existing services;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expansion of our operations and infrastructure organically and through acquisitions and strategic partnerships;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administration, including legal, risk management, accounting, and other expenses related to being a public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expect fluctuations in our operating results, making it difficult to project future results, and if we fail to meet the expectations of securities analysts or investors with respect to our operating results, the market price of our ADSs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other risks described herein, factors that may affect our operating results include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demand for our digital solutions and e-commerce offerings;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new clients and retain and increase adoption by our existing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client preference for cloud-based services as a result of security breaches in the industry or privacy concerns, or other security or reliability concerns regarding our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client budgets and in the timing of their budget and billing cycles and purchasing decisions;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implementation timeline of our solutions with new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and existing clients choosing our competitors’ solutions or developing their own solutions in-house;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development or introduction of new solutions that are easier to use or more advanced than our current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or retention of more entrenched or rival services in the markets where we compete or plan to compete;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control costs, including our operating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payment for operating expenses, particularly research and development and sales and marketing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non-cash expenses, including share-based compensation, goodwill impairments and other non-cash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costs associated with recruiting, training and integrating new employees, and retaining and motivating existing employees;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acquisitions and their integration;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(including inflation), as well as economic conditions specifically affecting industries in which our clients operate;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new accounting pronouncements;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competitive dynamics of our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security breaches of, technical difficulties with, or interruptions to, the delivery and use of our solutions from our technology vendors, and/or our own developed technology;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awareness of our brand and our reputation in our target markets.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 the past, and may in the future, incur indebtedness that could adversely affect our financial flexibility and expose us to risks that could materially adversely affect our liquidity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2023, we had approximately US$0.6 million of outstanding principal amount of the term loans under our existing credit facility at interest rates which are subject to market fluctuation. These term loans mature in 2026 and 2027. Our indebtedness and related obligations could have important future consequences to us,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ability to borrow additional amounts to fund capital expenditures, acquisitions, debt service requirements, execution of our growth strategy and other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ability to make investments, including acquisitions, loans and advances, and to sell, transfer or otherwise dispose of assets;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placing us at a competitive disadvantage compared with our competitors that have less debt;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exposing us to risks inherent in interest rate fluctuations if our future borrowings are at variable rates of interest, which could result in higher interest expense in the event of increases in interest rates.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financial condition, and results of operations are subject to risks associated with rising interest rates, which could negatively impact our ability to maintain the current financing and obtain additional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might not implement our growth strategies successfully which would limit our growth and cause the market price of our ADS to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profitability will depend, in part, on our ability to implement successfully our growth strategies. We expect to invest substantial amounts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our Tridentity offerings;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build new solutions and add features and functionality to existing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grow our salesforce and marketing to win new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relationships with our existing clients;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into new verticals and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pursue strategic acquisitions or strategic investments;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improve our technology infrastructure, including systems architecture, scalability, availability, performance and network security;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comply with regulatory requirements and risk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in these programs will affect adversely our short-term profitability. This would impact revenues adversely and cause our business to suffer.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unsuccessful in entering new market segments or further penetrating our existing market segments, our revenue or revenue growth could be materially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difficulties or unforeseen expenditures in integrating the business, technologies, solutions, personnel or operations of any company that we acquire, particularly if key personnel of the acquired company decide not to work for 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realize anticipated synergies;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acquisition may disrupt our ongoing business, divert resources, increase our expenses, and distract our management;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challenges integrating the employees of the acquired company into our company culture;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difficulties in, or may be unable to, successfully sell any acquired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use of cash to pay for acquisitions would limit other potential uses for our cash;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incur debt to fund any acquisitions, such debt may subject us to material restrictions on our ability to conduct our business financial maintenance covenants;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issue a significant amount of equity securities in connection with future acquisitions, existing shareholders may be diluted and earnings per share may decrease.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occurrence of any of these risks could have an adverse effect on our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Interruptions or performance problems associated with our infrastructure may adversely affect our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depend on the reliable performance of Internet infrastructure, bandwidth providers, data center providers, cloud providers, mobile infrastructure, and other third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generates and processes a large amount of consumer data, and the improper use, collection or disclosure of such data could subject us to significant reputational, financial, legal and operational consequences.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protect our intellectual property or proprietary rights could substantially harm our business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and ability to compete depends in part on our intellectual property. As of June 30, 2023, we have one registered trademark in Singapore. See “</w:t>
      </w:r>
      <w:r>
        <w:rPr>
          <w:rFonts w:ascii="Times New Roman PS Std;serif" w:hAnsi="Times New Roman PS Std;serif"/>
          <w:b w:val="false"/>
          <w:i/>
          <w:caps w:val="false"/>
          <w:smallCaps w:val="false"/>
          <w:sz w:val="20"/>
        </w:rPr>
        <w:t>Business — Intellectual Property.</w:t>
      </w:r>
      <w:r>
        <w:rPr>
          <w:rFonts w:ascii="Times New Roman PS Std;serif" w:hAnsi="Times New Roman PS Std;serif"/>
          <w:b w:val="false"/>
          <w:i w:val="false"/>
          <w:caps w:val="false"/>
          <w:smallCaps w:val="false"/>
          <w:sz w:val="20"/>
        </w:rPr>
        <w:t>” Any use of trademarks by third parties which are similar or identical to ours may also result in imitation of our platform, which may adversely affect our business, prospects, financial condition and results of operation.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certain technology and software licensed from third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 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Some of our services and technologies may use “open source” software, which may restrict how we use or distribute our services or require that we release the source code of certain solutions subject to those licenses.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the performance of senior management team and highly skilled personnel; if we are unable to retain or motivate key personnel or hire, retain and motivate qualified personnel, our business would be harmed.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legal proceedings in the ordinary course of our business. If the outcomes of these proceedings are adverse to us, it could have a material adverse effect on our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limited insurance coverage, which could expose us to significant costs and business disruption.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Jurisdictions Where We Operate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exposed to risks in respect of acts of war, terrorist attacks, epidemics, political unrest, natural disasters, adverse weather and other uncontrollable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evolving laws, regulations, standards and policies, and any actual or perceived failure to comply could harm our reputation and brand, subject us to significant fines and liability, or otherwise adversely affect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ADSs and This Offering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active trading market for our ordinary shares or our ADSs may not develop and the trading price for our ADSs may fluctuate significantly.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list our ADSs on the Nasdaq Capital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underwriters based upon several factors, and the trading price of our ADSs after this offering could decline below the initial public offering price. As a result, investors in our securities may experience a significant decrease in the value of their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within the meaning of the Securities Act and may take advantage of certain reduced reporting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this offering, our founder, chairman of board of directors and chief executive officer, Mr. Soon Huat Lim, will together beneficially own all of our issued Class A ordinary shares. These Class A ordinary shares will constitute approximately 9.6% of our total issued and outstanding share capital immediately after the completion of this offering and 86.4% of the aggregate voting power of our total issued and outstanding share capital due to the disparate voting powers associated with our dual-class share structure.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dual-class voting structure may render the ADSs representing our Class B ordinary shares ineligible for inclusion in certain stock market indices, and thus adversely affect the trading price and liquidity of the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cease to publish research or reports about our business, or if they adversely change their recommendations regarding the ADSs, the market price for the ADSs and trading volume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do not expect to pay dividends in the foreseeable future after this offering and you must rely on price appreciation of our ADSs for return on your investment.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our initial public offering price is substantially higher than our net tangible book value per share, you will experience immediate and substantial dilution.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In addition, you may experience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not determined a specific use for a portion of the net proceeds from this offering and we may use these proceeds in ways with which you may not agree.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results of operations or increase the ADS price, nor that these net proceeds will be placed only in investments that generate income or appreciate in value.</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Substantial future sales or perceived potential sales of our ADSs in the public market could cause the price of our ADSs to decline.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post-offering memorandum and articles of association contain anti-takeover provisions that could have a material adverse effect on the rights of holders of our ordinary shares and the ADSs.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including without limitation claims under the Exchange Act or the Securities Act,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 of or relating in any way to the federal securities laws of the United States, regardless of whether such legal suit, action, or proceeding also involves parties other than our company. 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the holders and beneficial owners of ADSs on the one hand and us or the depositary on the other hand that may arise out of or relate in any way to the deposit agreement including without limitation claims under the Exchange Act or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 In any case, with respect to Securities Act claims, Holders of our shares or the ADSs cannot waive compliance with the federal securities laws and the rules and regulations thereunder.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voting rights of holders of ADSs are limited by the terms of the deposit agreement, and you may not be able to exercise your right to direct the voting of the underlying ordinary shares represented by your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event of voting by poll, the depository bank will vote (or cause the custodian to vote) the ordinary shares held on deposit in accordance with the voting instructions received from the holders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deposit agreement, if voting is by poll and the depositary does not timely receive voting instructions from you, you are deemed to have instructed the depositary to give a discretionary proxy to a person designated by us to vote the Class B ordinary shares represented by the ADSs you hold;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ADS holder’s right to pursue claims against the depositary is limited by the terms of the deposit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entitled to amend the deposit agreement and to change the rights of ADS holders under the terms of such agreement, or to terminate the deposit agreement, without the prior consent of the ADS holders.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be subject to limitations on transfer of your ADSs.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experience dilution of your holdings due to inability to participate in rights offerings.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judgments obtained against us by our shareholders may not be enforceable.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ADS holders may not be entitled to a jury trial with respect to claims arising under the deposit agreement, which could result in less favorable outcomes to the plaintiff(s) in any such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governing the ADSs representing our ordinary shares provides that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 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company incorporated in the Cayman Islands, we are permitted to adopt certain home country practices in relation to corporate governance matters that differ significantly from the Nasdaq Stock Market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Cayman Islands company listed on the Nasdaq Capital Market, we are subject to the Nasdaq Stock Market Rules, which requires listed companies to have, among other things, a majority of their board members to be independent and independent director oversight of executive compensation and nomination of directors.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rules under the Exchange Act requiring the filing of quarterly reports on Form 10-Q or current reports on Form 8-K with the SEC;</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of the Exchange Act regulating the solicitation of proxies, consents, or authorizations in respect of a security registered under the Exchange Act;</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selective disclosure rules by issuers of material nonpublic information under Regulation FD; and</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audit committee independence requirements in Rule 10A-3 of the Exchange Act.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 foreign private issuer whose securities are listed on the Nasdaq Capital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We will be a “controlled company” under the Nasdaq Stock Market Rules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upon the completion of this offering and, as a result, may rely on exemptions from certain corporate governance requirements that provide protection to shareholders of other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a “controlled company” as defined under the Nasdaq Stock Market Rules upon the completion of this offering. Upon the completion of this offering, Mr. Soon Huat Lim, our founder, chairman of board of directors and chief executive officer will beneficially own 62.3% of our total issued and outstanding ordinary shares, representing 94.4% of the total voting power. As a result, Mr. Soon Huat Lim will have the ability to control or significantly influence the outcome of matters requiring approval by shareholders.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and an exemption from the rule that a majority of our board of directors must be independent directors. See the sections of this prospectus captioned “— Implications of Being a Foreign Private Issuer”, “—As a company incorporated in the Cayman Islands, we are permitted to adopt certain home country practices in relation to corporate governance matters that differ significantly from the Nasdaq Stock Market Rules.” and “—We are a foreign private issuer within the meaning of the rules under the Exchange Act, and as such we are exempt from certain provisions applicable to U.S. domestic public companies.”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can be no assurance that we will not be classified as a passive foreign investment company for U.S. federal income tax purposes, which could result in adverse U.S. federal income tax consequences to U.S. Holders of our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our current and projected income and assets, including the proceeds from this offering,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incur increased costs as a result of being a public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this offering, we will become a public company and expect to incur significant legal, accounting and other expenses that we did not incur as a private company. The Sarbanes-Oxley Act of 2002, as well as rules subsequently implemented by the SEC and Nasdaq Capital Market, impose various requirements on the corporate governance practices of public companies. We expect these rules and regulations to increase our legal and financial compliance costs and to make some corporate activities more time-consuming and costly.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reporting requirements of the Exchange Act of 1934, or Exchange Act, the Sarbanes-Oxley Act of and the rules and regulations of the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and ii) lack of robust and formal period-end financial reporting policies and procedures in place to address complex U.S. GAAP technical accounting and the SEC reporting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response to the material weaknesses identified prior to this offering, we are in the process of implementing a number of measures to address the material weaknesses identified, including but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 and implement a comprehensive set of processes and internal controls to timely and appropriately;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transactions that may be subject to complex U.S. GAAP accounting treatment;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analyze the transactions in accordance with the relevant U.S. GAAP;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the accounting technical analysis;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an ongoing training program to provide sufficient and appropriate trainings for accounting and financial reporting personnel, including trainings related to U.S. GAAP and SEC reporting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deficiencies in the future. Another significant financial reporting failure or material weakness in internal control 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Capital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reported financial results may be adversely affected by changes in accounting principles generally accepted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estimates or judgments relating to our critical accounting policies prove to be incorrect, our results of operations could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 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price of our ADSs could be subject to rapid and substantial volatility.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be sustained. If an active market does not develop, holders of our ADSs may be unable to readily sell the shares they hold or may not be able to sell their shares at all.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25"/>
      <w:bookmarkEnd w:id="5"/>
      <w:r>
        <w:rPr>
          <w:rFonts w:ascii="Times New Roman PS Std;serif" w:hAnsi="Times New Roman PS Std;serif"/>
          <w:b/>
          <w:i w:val="false"/>
          <w:caps w:val="false"/>
          <w:smallCaps w:val="false"/>
          <w:sz w:val="20"/>
        </w:rPr>
        <w:t>SPECIAL NOTE REGARDING FORWARD-LOOKING STATEMENTS AND INDUSTRY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goals and strategies;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business development, financial condition and results of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outlook of the digital solutions and e-commerce market in Singapore, Southeast Asia and globally;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changes in our revenue, costs or expenditures;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our industry;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proposed use of proceeds;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 policies and regulations relating to our industry;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business conditions in Singapore, Southeast Asia and globally.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not rely upon forward-looking statements as predictions of future events. We undertake no obligation to update or revise any forward-looking statements, whether as a result of new information, future events or otherwise.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24"/>
      <w:bookmarkEnd w:id="6"/>
      <w:r>
        <w:rPr>
          <w:rFonts w:ascii="Times New Roman PS Std;serif" w:hAnsi="Times New Roman PS Std;serif"/>
          <w:b/>
          <w:i w:val="false"/>
          <w:caps w:val="false"/>
          <w:smallCaps w:val="false"/>
          <w:sz w:val="20"/>
        </w:rPr>
        <w:t>USE OF PROCEEDS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aggregate net proceeds to us from this offering of approximately US$14.47 million, after deducting underwriting discounts and estimated expenses payable by us in connection with this offering, and assuming an initial offering price of US$9.00 per ADS, being the midpoint of the estimated range of the initial public offering price shown on the cover page of this prospectus. Assuming the number of ADSs offered by us as set forth on the cover page of this prospectus remains the same, and after deduction of underwriting discounts and estimated expenses payable by us in connection with this offering, a US$1.00 increase (decrease) in the assumed initial public offering price of US$9.00 per ADS would increase (decrease) the net proceeds of this offering by approximately US$1.88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for the following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35% of the net proceeds for research and development, including development of infrastructure for our Web 3.0 e-commerce platform and further investment in our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25% of the net proceeds for investment in the Singapore market;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40% of the net proceeds for general corporate purposes, which may include potential strategic investments and acquisitions in Southeast Asia and globally, although our management has not yet determined the types of businesses that we will target at this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and we may use these proceeds in ways with which you may not agree.”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23"/>
      <w:bookmarkEnd w:id="7"/>
      <w:r>
        <w:rPr>
          <w:rFonts w:ascii="Times New Roman PS Std;serif" w:hAnsi="Times New Roman PS Std;serif"/>
          <w:b/>
          <w:i w:val="false"/>
          <w:caps w:val="false"/>
          <w:smallCaps w:val="false"/>
          <w:sz w:val="20"/>
        </w:rPr>
        <w:t>DIVIDEND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22"/>
      <w:bookmarkEnd w:id="8"/>
      <w:r>
        <w:rPr>
          <w:rFonts w:ascii="Times New Roman PS Std;serif" w:hAnsi="Times New Roman PS Std;serif"/>
          <w:b/>
          <w:i w:val="false"/>
          <w:caps w:val="false"/>
          <w:smallCaps w:val="false"/>
          <w:sz w:val="20"/>
        </w:rPr>
        <w:t>CAPITALIZATION</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capitalization as of June 30, 2023:</w:t>
      </w:r>
    </w:p>
    <w:p>
      <w:pPr>
        <w:pStyle w:val="TextBody"/>
        <w:keepNext w:val="false"/>
        <w:pageBreakBefore w:val="false"/>
        <w:widowControl/>
        <w:pBdr/>
        <w:bidi w:val="0"/>
        <w:spacing w:before="10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actual basis;</w:t>
      </w:r>
    </w:p>
    <w:p>
      <w:pPr>
        <w:pStyle w:val="TextBody"/>
        <w:keepNext w:val="false"/>
        <w:pageBreakBefore w:val="false"/>
        <w:widowControl/>
        <w:pBdr/>
        <w:bidi w:val="0"/>
        <w:spacing w:before="10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actual as adjusted basis to reflect the issuance and sale of 89,795,000 Class B ordinary shares on July 4, 2023 for the consideration of US$7,499,990 (received in cash and recorded as subscription fees advance from shareholders as of June 30, 2023) and the issuance and sale of 1,964,286 Class B ordinary shares to certain individual and institutional investors on October 3, 2023 for the consideration of US$1,100,000.</w:t>
      </w:r>
    </w:p>
    <w:p>
      <w:pPr>
        <w:pStyle w:val="TextBody"/>
        <w:keepNext w:val="false"/>
        <w:pageBreakBefore w:val="false"/>
        <w:widowControl/>
        <w:pBdr/>
        <w:bidi w:val="0"/>
        <w:spacing w:before="10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 pro forma as adjusted basis to reflect the issuance and sale of 18,750,000 Class B ordinary shares in the form of ADSs by us in this offering, at an assumed initial public offering price of US$9.00 per ADS, the midpoint of the estimated range of the initial public offering price shown on the front cover this prospectus, after deducting the underwriting discounts and commissions and estimated offering expenses payable by us.</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adjustments reflected below are subject to change and are based upon available information and certain assumptions that we believe are reasonable. Total shareholders’ equity and total capitalization following the completion of this offering are subject to adjustment based on the actual initial public offering price and other terms of this offering determined at pricing. You should read this table together with our consolidated financial statements and the related notes included elsewhere in this prospectus and the information under “Management’s Discussion and Analysis of Financial Condition and Results of Operations.”</w:t>
      </w:r>
    </w:p>
    <w:tbl>
      <w:tblPr>
        <w:tblW w:w="10205" w:type="dxa"/>
        <w:jc w:val="left"/>
        <w:tblInd w:w="0" w:type="dxa"/>
        <w:tblLayout w:type="fixed"/>
        <w:tblCellMar>
          <w:top w:w="0" w:type="dxa"/>
          <w:left w:w="0" w:type="dxa"/>
          <w:bottom w:w="0" w:type="dxa"/>
          <w:right w:w="0" w:type="dxa"/>
        </w:tblCellMar>
      </w:tblPr>
      <w:tblGrid>
        <w:gridCol w:w="5292"/>
        <w:gridCol w:w="146"/>
        <w:gridCol w:w="1291"/>
        <w:gridCol w:w="196"/>
        <w:gridCol w:w="146"/>
        <w:gridCol w:w="1228"/>
        <w:gridCol w:w="185"/>
        <w:gridCol w:w="146"/>
        <w:gridCol w:w="1346"/>
        <w:gridCol w:w="229"/>
      </w:tblGrid>
      <w:tr>
        <w:trPr/>
        <w:tc>
          <w:tcPr>
            <w:tcW w:w="529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767" w:type="dxa"/>
            <w:gridSpan w:val="8"/>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2023</w:t>
            </w:r>
          </w:p>
        </w:tc>
      </w:tr>
      <w:tr>
        <w:trPr/>
        <w:tc>
          <w:tcPr>
            <w:tcW w:w="52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46" w:type="dxa"/>
            <w:tcBorders/>
            <w:vAlign w:val="bottom"/>
          </w:tcPr>
          <w:p>
            <w:pPr>
              <w:pStyle w:val="TableContents"/>
              <w:bidi w:val="0"/>
              <w:spacing w:before="0" w:after="283"/>
              <w:jc w:val="left"/>
              <w:rPr/>
            </w:pPr>
            <w:r>
              <w:rPr/>
              <w:t> </w:t>
            </w:r>
          </w:p>
        </w:tc>
        <w:tc>
          <w:tcPr>
            <w:tcW w:w="141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br/>
              <w:t>As Adjusted(1)</w:t>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 xml:space="preserve">As Adjusted(2) </w:t>
            </w:r>
          </w:p>
        </w:tc>
      </w:tr>
      <w:tr>
        <w:trPr/>
        <w:tc>
          <w:tcPr>
            <w:tcW w:w="52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vAlign w:val="bottom"/>
          </w:tcPr>
          <w:p>
            <w:pPr>
              <w:pStyle w:val="TableContents"/>
              <w:bidi w:val="0"/>
              <w:spacing w:before="0" w:after="283"/>
              <w:jc w:val="left"/>
              <w:rPr/>
            </w:pPr>
            <w:r>
              <w:rPr/>
              <w:t> </w:t>
            </w:r>
          </w:p>
        </w:tc>
        <w:tc>
          <w:tcPr>
            <w:tcW w:w="141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r>
        <w:trPr/>
        <w:tc>
          <w:tcPr>
            <w:tcW w:w="52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Short-term debt: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2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40,197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40,197</w:t>
            </w:r>
          </w:p>
        </w:tc>
        <w:tc>
          <w:tcPr>
            <w:tcW w:w="1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40,197</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shareholders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7,590,421</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Long-term debt: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left"/>
              <w:rPr/>
            </w:pPr>
            <w:r>
              <w:rPr/>
              <w:t> </w:t>
            </w:r>
          </w:p>
        </w:tc>
        <w:tc>
          <w:tcPr>
            <w:tcW w:w="18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2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561,998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561,998</w:t>
            </w:r>
          </w:p>
        </w:tc>
        <w:tc>
          <w:tcPr>
            <w:tcW w:w="1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561,998</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left"/>
              <w:rPr/>
            </w:pPr>
            <w:r>
              <w:rPr/>
              <w:t> </w:t>
            </w:r>
          </w:p>
        </w:tc>
        <w:tc>
          <w:tcPr>
            <w:tcW w:w="18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2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(par value US$0.00001 per share; 1,000,000,000 Class A ordinary shares authorized, 50,000,000 and 50,000,000 Class A ordinary shares issued and outstanding as of June 30, 2023 and December 31, 2022, respectively; 4,000,000,000 Class B ordinary shares authorized, 360,205,000 and 360,205,000 Class B ordinary shares issued and outstanding as of June 30, 2023 and December 31, 2022, respectively.)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5,020</w:t>
            </w:r>
          </w:p>
        </w:tc>
        <w:tc>
          <w:tcPr>
            <w:tcW w:w="1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5,208</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8,631,312</w:t>
            </w:r>
          </w:p>
        </w:tc>
        <w:tc>
          <w:tcPr>
            <w:tcW w:w="1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23,096,408</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(3,259,598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(3,259,598</w:t>
            </w:r>
          </w:p>
        </w:tc>
        <w:tc>
          <w:tcPr>
            <w:tcW w:w="1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(3,259,598</w:t>
            </w:r>
          </w:p>
        </w:tc>
        <w:tc>
          <w:tcPr>
            <w:tcW w:w="22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 income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87,496</w:t>
            </w:r>
          </w:p>
        </w:tc>
        <w:tc>
          <w:tcPr>
            <w:tcW w:w="1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87,496</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(3,226,191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5,464,230</w:t>
            </w:r>
          </w:p>
        </w:tc>
        <w:tc>
          <w:tcPr>
            <w:tcW w:w="1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19,929,514</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8,966,857</w:t>
            </w:r>
          </w:p>
        </w:tc>
        <w:tc>
          <w:tcPr>
            <w:tcW w:w="1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23,432,141</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Reflects the issuance of 89,795,000 shares of Class B Ordinary Shares on July 4, 2023 for the consideration of US$7,499,990 (received in cash and recorded as subscription fees advance from shareholders as of June 30, 2023) and the issuance of 1,964,286 shares of Class B Ordinary Shares on October 3, 2023 for the consideration of US$1,100,000.</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Reflects the issuance and sale of 18,750,000 Class B ordinary shares in the form of ADSs by us in this offering, at an assumed initial public offering price of US$9.00 per ADS, the midpoint of the estimated range of the initial public offering price shown on the front cover this prospectus,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21"/>
      <w:bookmarkEnd w:id="9"/>
      <w:r>
        <w:rPr>
          <w:rFonts w:ascii="Times New Roman PS Std;serif" w:hAnsi="Times New Roman PS Std;serif"/>
          <w:b/>
          <w:i w:val="false"/>
          <w:caps w:val="false"/>
          <w:smallCaps w:val="false"/>
          <w:sz w:val="20"/>
        </w:rPr>
        <w:t>DILUTION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actual net tangible book value as of June 30, 2023 was approximately US$3.23 million in deficit, or US$0.01 per ordinary share in deficit and US$0.06 per ADS in deficit, respectively as of such date. Our actual as adjusted net tangible book value as of June 30, 2023 was approximately US$5.46 million, or US$0.01 per ordinary share and US$0.11 per ADS, respectively as of such date. Such actual as adjusted net tangible book value reflects the issuance and sale of 89,795,000 Class B ordinary shares on July 4, 2023 for the consideration of US$7,499,990 (received in cash and recorded as subscription fees advance from shareholders as of June 30, 2023) and the issuance and sale of 1,964,286 Class B ordinary shares to certain individual and institutional investors on October 3, 2023 for the consideration of US$1,100,000.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US$9.00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Without taking into account any other changes in actual as adjusted net tangible book value after June 30, 2023, other than to give effect to our sale of the ADSs offered in this offering at the assumed initial public offering price of US$9.00 per ADS, which is the midpoint of the estimated initial public offering price range shown on the front cover of this prospectus, after deduction of the underwriting discounts and commissions and estimated offering expenses payable by us, the pro forma as adjusted net tangible book value as of June 30, 2023 would have been US$19.93 million, or US$0.04 per ordinary share and US$0.38 per ADS. This represents an immediate increase in actual as adjusted net tangible book value of US$0.03 per ordinary share and US$0.27 per ADS to the existing shareholders and an immediate dilution in actual as adjusted net tangible book value of US$0.86 per ordinary share and US$8.62 per ADS to investors purchasing ADSs in this offering. The following table illustrates such dilution:</w:t>
      </w:r>
    </w:p>
    <w:tbl>
      <w:tblPr>
        <w:tblW w:w="10205" w:type="dxa"/>
        <w:jc w:val="left"/>
        <w:tblInd w:w="0" w:type="dxa"/>
        <w:tblLayout w:type="fixed"/>
        <w:tblCellMar>
          <w:top w:w="0" w:type="dxa"/>
          <w:left w:w="0" w:type="dxa"/>
          <w:bottom w:w="0" w:type="dxa"/>
          <w:right w:w="0" w:type="dxa"/>
        </w:tblCellMar>
      </w:tblPr>
      <w:tblGrid>
        <w:gridCol w:w="6339"/>
        <w:gridCol w:w="146"/>
        <w:gridCol w:w="1670"/>
        <w:gridCol w:w="205"/>
        <w:gridCol w:w="146"/>
        <w:gridCol w:w="1471"/>
        <w:gridCol w:w="228"/>
      </w:tblGrid>
      <w:tr>
        <w:trPr/>
        <w:tc>
          <w:tcPr>
            <w:tcW w:w="633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ordinary share</w:t>
            </w:r>
          </w:p>
        </w:tc>
        <w:tc>
          <w:tcPr>
            <w:tcW w:w="146" w:type="dxa"/>
            <w:tcBorders/>
            <w:vAlign w:val="bottom"/>
          </w:tcPr>
          <w:p>
            <w:pPr>
              <w:pStyle w:val="TableContents"/>
              <w:bidi w:val="0"/>
              <w:spacing w:before="0" w:after="283"/>
              <w:jc w:val="left"/>
              <w:rPr/>
            </w:pPr>
            <w:r>
              <w:rPr/>
              <w:t> </w:t>
            </w:r>
          </w:p>
        </w:tc>
        <w:tc>
          <w:tcPr>
            <w:tcW w:w="169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ADS</w:t>
            </w:r>
          </w:p>
        </w:tc>
      </w:tr>
      <w:tr>
        <w:trPr/>
        <w:tc>
          <w:tcPr>
            <w:tcW w:w="633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Assumed initial public offering price</w:t>
            </w:r>
          </w:p>
        </w:tc>
        <w:tc>
          <w:tcPr>
            <w:tcW w:w="146"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0.90</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9.00</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net tangible book value (deficit) as of June 30, 2023</w:t>
            </w:r>
          </w:p>
        </w:tc>
        <w:tc>
          <w:tcPr>
            <w:tcW w:w="146" w:type="dxa"/>
            <w:tcBorders/>
            <w:vAlign w:val="bottom"/>
          </w:tcPr>
          <w:p>
            <w:pPr>
              <w:pStyle w:val="TableContents"/>
              <w:bidi w:val="0"/>
              <w:spacing w:before="0" w:after="283"/>
              <w:jc w:val="left"/>
              <w:rPr/>
            </w:pPr>
            <w:r>
              <w:rPr/>
              <w:t> </w:t>
            </w:r>
          </w:p>
        </w:tc>
        <w:tc>
          <w:tcPr>
            <w:tcW w:w="167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(0.01</w:t>
            </w:r>
          </w:p>
        </w:tc>
        <w:tc>
          <w:tcPr>
            <w:tcW w:w="20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(0.06</w:t>
            </w:r>
          </w:p>
        </w:tc>
        <w:tc>
          <w:tcPr>
            <w:tcW w:w="22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3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as adjusted net tangible book value as of June 30, 2023(1)</w:t>
            </w:r>
          </w:p>
        </w:tc>
        <w:tc>
          <w:tcPr>
            <w:tcW w:w="146"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0.01</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0.11</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as adjusted net tangible book value after giving effect to this offering</w:t>
            </w:r>
          </w:p>
        </w:tc>
        <w:tc>
          <w:tcPr>
            <w:tcW w:w="146" w:type="dxa"/>
            <w:tcBorders/>
            <w:vAlign w:val="bottom"/>
          </w:tcPr>
          <w:p>
            <w:pPr>
              <w:pStyle w:val="TableContents"/>
              <w:bidi w:val="0"/>
              <w:spacing w:before="0" w:after="283"/>
              <w:jc w:val="left"/>
              <w:rPr/>
            </w:pPr>
            <w:r>
              <w:rPr/>
              <w:t> </w:t>
            </w:r>
          </w:p>
        </w:tc>
        <w:tc>
          <w:tcPr>
            <w:tcW w:w="167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0.04</w:t>
            </w:r>
          </w:p>
        </w:tc>
        <w:tc>
          <w:tcPr>
            <w:tcW w:w="2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0.38</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3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of dilution in actual as adjusted net tangible book value to new investors in this offering</w:t>
            </w:r>
          </w:p>
        </w:tc>
        <w:tc>
          <w:tcPr>
            <w:tcW w:w="146"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0.86</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8.62</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Reflects the issuance and sale of 89,795,000 Class B ordinary shares on July 4, 2023 for the consideration of US$7,499,990 (received in cash and recorded as subscription fees advance from shareholders as of June 30, 2023) and the issuance and sale of 1,964,286 Class B ordinary shares to certain individual and institutional investors on October 3, 2023 for the consideration of US$1,100,000.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US$1.00 increase (decrease) in the assumed initial public offering price of US$9.00 per ADS would increase (decrease) the pro forma as adjusted net tangible book value after giving effect to this offering by US$1.88 million, the pro forma as adjusted net tangible book value per ordinary share and per ADS after giving effect to this offering by US$0.004 per ordinary share and US$0.04 per ADS, and the dilution in the pro forma as adjusted net tangible book value per ordinary share and per ADS to new investors in this offering by US$0.86 per ordinary share and US$8.58 per ADS, assuming no change to the number of ADSs offered by us as set forth on the front cover of this prospectus, and after deducting underwriting discounts and commissions and estimated offering expenses payable by 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on a pro forma as adjusted basis as of June 30, 2023,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w:t>
      </w:r>
    </w:p>
    <w:tbl>
      <w:tblPr>
        <w:tblW w:w="10205" w:type="dxa"/>
        <w:jc w:val="left"/>
        <w:tblInd w:w="0" w:type="dxa"/>
        <w:tblLayout w:type="fixed"/>
        <w:tblCellMar>
          <w:top w:w="0" w:type="dxa"/>
          <w:left w:w="0" w:type="dxa"/>
          <w:bottom w:w="0" w:type="dxa"/>
          <w:right w:w="0" w:type="dxa"/>
        </w:tblCellMar>
      </w:tblPr>
      <w:tblGrid>
        <w:gridCol w:w="1817"/>
        <w:gridCol w:w="146"/>
        <w:gridCol w:w="1594"/>
        <w:gridCol w:w="178"/>
        <w:gridCol w:w="788"/>
        <w:gridCol w:w="351"/>
        <w:gridCol w:w="146"/>
        <w:gridCol w:w="1636"/>
        <w:gridCol w:w="146"/>
        <w:gridCol w:w="646"/>
        <w:gridCol w:w="286"/>
        <w:gridCol w:w="146"/>
        <w:gridCol w:w="1066"/>
        <w:gridCol w:w="146"/>
        <w:gridCol w:w="1113"/>
      </w:tblGrid>
      <w:tr>
        <w:trPr/>
        <w:tc>
          <w:tcPr>
            <w:tcW w:w="181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11"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Ordinary Shares Purchased</w:t>
            </w:r>
          </w:p>
        </w:tc>
        <w:tc>
          <w:tcPr>
            <w:tcW w:w="146" w:type="dxa"/>
            <w:tcBorders/>
            <w:vAlign w:val="bottom"/>
          </w:tcPr>
          <w:p>
            <w:pPr>
              <w:pStyle w:val="TableContents"/>
              <w:bidi w:val="0"/>
              <w:spacing w:before="0" w:after="283"/>
              <w:jc w:val="left"/>
              <w:rPr/>
            </w:pPr>
            <w:r>
              <w:rPr/>
              <w:t> </w:t>
            </w:r>
          </w:p>
        </w:tc>
        <w:tc>
          <w:tcPr>
            <w:tcW w:w="271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Consideration</w:t>
            </w:r>
          </w:p>
        </w:tc>
        <w:tc>
          <w:tcPr>
            <w:tcW w:w="146" w:type="dxa"/>
            <w:tcBorders/>
            <w:vAlign w:val="bottom"/>
          </w:tcPr>
          <w:p>
            <w:pPr>
              <w:pStyle w:val="TableContents"/>
              <w:bidi w:val="0"/>
              <w:spacing w:before="0" w:after="283"/>
              <w:jc w:val="left"/>
              <w:rPr/>
            </w:pPr>
            <w:r>
              <w:rPr/>
              <w:t> </w:t>
            </w:r>
          </w:p>
        </w:tc>
        <w:tc>
          <w:tcPr>
            <w:tcW w:w="106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Price Per </w:t>
              <w:br/>
              <w:t xml:space="preserve">Ordinary </w:t>
              <w:br/>
              <w:t>Share</w:t>
            </w:r>
          </w:p>
        </w:tc>
        <w:tc>
          <w:tcPr>
            <w:tcW w:w="146" w:type="dxa"/>
            <w:vMerge w:val="restart"/>
            <w:tcBorders/>
            <w:vAlign w:val="bottom"/>
          </w:tcPr>
          <w:p>
            <w:pPr>
              <w:pStyle w:val="TableContents"/>
              <w:bidi w:val="0"/>
              <w:spacing w:before="0" w:after="283"/>
              <w:jc w:val="left"/>
              <w:rPr/>
            </w:pPr>
            <w:r>
              <w:rPr/>
              <w:t> </w:t>
            </w:r>
          </w:p>
        </w:tc>
        <w:tc>
          <w:tcPr>
            <w:tcW w:w="1113"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Price Per </w:t>
              <w:br/>
              <w:t>ADS</w:t>
            </w:r>
          </w:p>
        </w:tc>
      </w:tr>
      <w:tr>
        <w:trPr/>
        <w:tc>
          <w:tcPr>
            <w:tcW w:w="18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78"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06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13" w:type="dxa"/>
            <w:vMerge w:val="continue"/>
            <w:tcBorders/>
            <w:vAlign w:val="bottom"/>
          </w:tcPr>
          <w:p>
            <w:pPr>
              <w:pStyle w:val="Normal"/>
              <w:bidi w:val="0"/>
              <w:jc w:val="left"/>
              <w:rPr/>
            </w:pPr>
            <w:r>
              <w:rPr/>
            </w:r>
          </w:p>
        </w:tc>
      </w:tr>
      <w:tr>
        <w:trPr/>
        <w:tc>
          <w:tcPr>
            <w:tcW w:w="18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shareholders</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501,964,286</w:t>
            </w:r>
          </w:p>
        </w:tc>
        <w:tc>
          <w:tcPr>
            <w:tcW w:w="178"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w:t>
            </w:r>
          </w:p>
        </w:tc>
        <w:tc>
          <w:tcPr>
            <w:tcW w:w="3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8,603,742</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0.02</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0.17</w:t>
            </w:r>
          </w:p>
        </w:tc>
      </w:tr>
      <w:tr>
        <w:trPr/>
        <w:tc>
          <w:tcPr>
            <w:tcW w:w="18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investors</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18,750,000</w:t>
            </w:r>
          </w:p>
        </w:tc>
        <w:tc>
          <w:tcPr>
            <w:tcW w:w="178" w:type="dxa"/>
            <w:tcBorders/>
            <w:vAlign w:val="bottom"/>
          </w:tcPr>
          <w:p>
            <w:pPr>
              <w:pStyle w:val="TableContents"/>
              <w:bidi w:val="0"/>
              <w:spacing w:before="0" w:after="283"/>
              <w:jc w:val="left"/>
              <w:rPr/>
            </w:pPr>
            <w:r>
              <w:rPr/>
              <w:t> </w:t>
            </w:r>
          </w:p>
        </w:tc>
        <w:tc>
          <w:tcPr>
            <w:tcW w:w="78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3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US$ 16,875,000</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0.90</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9.00</w:t>
            </w:r>
          </w:p>
        </w:tc>
      </w:tr>
      <w:tr>
        <w:trPr/>
        <w:tc>
          <w:tcPr>
            <w:tcW w:w="18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5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520,714,286</w:t>
            </w:r>
          </w:p>
        </w:tc>
        <w:tc>
          <w:tcPr>
            <w:tcW w:w="178" w:type="dxa"/>
            <w:tcBorders/>
            <w:shd w:fill="CCEEFF" w:val="clear"/>
            <w:vAlign w:val="bottom"/>
          </w:tcPr>
          <w:p>
            <w:pPr>
              <w:pStyle w:val="TableContents"/>
              <w:bidi w:val="0"/>
              <w:spacing w:before="0" w:after="283"/>
              <w:jc w:val="left"/>
              <w:rPr/>
            </w:pPr>
            <w:r>
              <w:rPr/>
              <w:t> </w:t>
            </w:r>
          </w:p>
        </w:tc>
        <w:tc>
          <w:tcPr>
            <w:tcW w:w="7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3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US$ 25,478,742</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20"/>
      <w:bookmarkEnd w:id="10"/>
      <w:r>
        <w:rPr>
          <w:rFonts w:ascii="Times New Roman PS Std;serif" w:hAnsi="Times New Roman PS Std;serif"/>
          <w:b/>
          <w:i w:val="false"/>
          <w:caps w:val="false"/>
          <w:smallCaps w:val="false"/>
          <w:sz w:val="20"/>
        </w:rPr>
        <w:t>ENFORCEABILITY OF CIVIL LIABILITIES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political and economic stability;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effective judicial system;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favorable tax system;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exchange control or currency restrictions;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professional and support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certain disadvantages accompany incorporation in the Cayman Islands. These disadvantages include but are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Cayman Islands has a less developed body of securities laws as compared to the United States and these securities laws provide significantly less protection to investors as compared to the United States;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Cayman Islands companies may not have standing to sue before the federal courts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memorandum and articles of association do not contain provisions requiring that disputes, including those arising under the securities laws of the United States, between us, our officers, directors and shareholders, be arbitrated.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appointed Cogency Global Inc., located at 122 East 42nd Street, 18th Floor, New York, NY 10168, as our agent upon whom process may be served in any action brought against us under the securities laws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courts of the Cayman Islands have yet to rule on whether such judgments are penal or punitive in nature, it is uncertain whether such civil liability judgments from U.S. courts would be enforceable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Cayman Islands court may stay enforcement proceedings if concurrent proceedings are being brought elsewhere.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treaty between the U.S. and Singapore providing for the reciprocal recognition and enforcement of judgments in civil and commercial matters and a final judgment for the payment of money rendered by any federal or state court in the U.S. based on civil liability, whether or not predicated solely upon the federal securities laws, would, therefore, not be automatically enforceable in Singapore.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making a determination as to enforceability of a judgment of the courts of the United States, the Singapore courts would have regard to whether the judgment was final and conclusive and on the merits of the case, given by a court of law of competent jurisdiction, and was expressed to be for a fixed sum of money.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a foreign judgment that is final and conclusive as between the parties,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Civil liability provisions of the federal and state securities law of the United States permit the award of punitive damages against us, our directors and officers. Singapore courts would not recognize or enforce foreign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 Such a determination has yet to be conclusively made by a Singapore court in a reported decision.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19"/>
      <w:bookmarkEnd w:id="11"/>
      <w:r>
        <w:rPr>
          <w:rFonts w:ascii="Times New Roman PS Std;serif" w:hAnsi="Times New Roman PS Std;serif"/>
          <w:b/>
          <w:i w:val="false"/>
          <w:caps w:val="false"/>
          <w:smallCaps w:val="false"/>
          <w:sz w:val="20"/>
        </w:rPr>
        <w:t>CORPORATE HISTORY AND STRUCTURE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History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diagram below illustrates our corporate structure as of the date of this prospectus:</w:t>
      </w:r>
    </w:p>
    <w:p>
      <w:pPr>
        <w:pStyle w:val="TextBody"/>
        <w:keepNext w:val="false"/>
        <w:pageBreakBefore w:val="false"/>
        <w:widowControl/>
        <w:pBdr/>
        <w:bidi w:val="0"/>
        <w:spacing w:before="160" w:after="283"/>
        <w:ind w:left="0" w:right="0" w:hanging="0"/>
        <w:jc w:val="center"/>
        <w:rPr>
          <w:caps w:val="false"/>
          <w:smallCaps w:val="false"/>
        </w:rPr>
      </w:pPr>
      <w:r>
        <w:rPr>
          <w:caps w:val="false"/>
          <w:smallCaps w:val="false"/>
        </w:rPr>
        <w:drawing>
          <wp:inline distT="0" distB="0" distL="0" distR="0">
            <wp:extent cx="3371850" cy="20694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71850" cy="206946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18"/>
      <w:bookmarkEnd w:id="12"/>
      <w:r>
        <w:rPr>
          <w:rFonts w:ascii="Times New Roman PS Std;serif" w:hAnsi="Times New Roman PS Std;serif"/>
          <w:b/>
          <w:i w:val="false"/>
          <w:caps w:val="false"/>
          <w:smallCaps w:val="false"/>
          <w:sz w:val="20"/>
        </w:rPr>
        <w:t>SELECTED CONSOLIDATED FINANCIAL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summary consolidated statements of operations data for the periods indicated.</w:t>
      </w:r>
    </w:p>
    <w:tbl>
      <w:tblPr>
        <w:tblW w:w="10205" w:type="dxa"/>
        <w:jc w:val="left"/>
        <w:tblInd w:w="0" w:type="dxa"/>
        <w:tblLayout w:type="fixed"/>
        <w:tblCellMar>
          <w:top w:w="0" w:type="dxa"/>
          <w:left w:w="0" w:type="dxa"/>
          <w:bottom w:w="0" w:type="dxa"/>
          <w:right w:w="0" w:type="dxa"/>
        </w:tblCellMar>
      </w:tblPr>
      <w:tblGrid>
        <w:gridCol w:w="2604"/>
        <w:gridCol w:w="146"/>
        <w:gridCol w:w="241"/>
        <w:gridCol w:w="1306"/>
        <w:gridCol w:w="196"/>
        <w:gridCol w:w="146"/>
        <w:gridCol w:w="241"/>
        <w:gridCol w:w="1306"/>
        <w:gridCol w:w="196"/>
        <w:gridCol w:w="146"/>
        <w:gridCol w:w="241"/>
        <w:gridCol w:w="1306"/>
        <w:gridCol w:w="196"/>
        <w:gridCol w:w="146"/>
        <w:gridCol w:w="241"/>
        <w:gridCol w:w="1306"/>
        <w:gridCol w:w="241"/>
      </w:tblGrid>
      <w:tr>
        <w:trPr/>
        <w:tc>
          <w:tcPr>
            <w:tcW w:w="26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26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481,165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475,123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(389,569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(378,896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91,596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96,227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(253,343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(71,530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(1,551,710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(170,817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(192,855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(80,883</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(1,997,908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(323,230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155,475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70,300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(Loss)/Income before income tax </w:t>
              <w:br/>
              <w:t>expense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(1,861,412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(156,703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(1,861,412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(156,703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Foreign currency translation </w:t>
              <w:br/>
              <w:t>adjustment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34,853</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29,661</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(1,826,559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(153,220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summary consolidated balance sheet data as of the dates indicated.</w:t>
      </w:r>
    </w:p>
    <w:tbl>
      <w:tblPr>
        <w:tblW w:w="9492" w:type="dxa"/>
        <w:jc w:val="left"/>
        <w:tblInd w:w="0" w:type="dxa"/>
        <w:tblLayout w:type="fixed"/>
        <w:tblCellMar>
          <w:top w:w="0" w:type="dxa"/>
          <w:left w:w="0" w:type="dxa"/>
          <w:bottom w:w="0" w:type="dxa"/>
          <w:right w:w="0" w:type="dxa"/>
        </w:tblCellMar>
      </w:tblPr>
      <w:tblGrid>
        <w:gridCol w:w="4276"/>
        <w:gridCol w:w="146"/>
        <w:gridCol w:w="241"/>
        <w:gridCol w:w="1291"/>
        <w:gridCol w:w="196"/>
        <w:gridCol w:w="146"/>
        <w:gridCol w:w="241"/>
        <w:gridCol w:w="991"/>
        <w:gridCol w:w="146"/>
        <w:gridCol w:w="241"/>
        <w:gridCol w:w="1336"/>
        <w:gridCol w:w="241"/>
      </w:tblGrid>
      <w:tr>
        <w:trPr/>
        <w:tc>
          <w:tcPr>
            <w:tcW w:w="42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0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4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3,965,607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540,496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995,563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437,299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166,436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422,242</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6,179,955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424,656</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9,524,598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471,332</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11,093,048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(3,226,191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selected consolidated statements of cash flow data for the periods indicated.</w:t>
      </w:r>
    </w:p>
    <w:tbl>
      <w:tblPr>
        <w:tblW w:w="10205" w:type="dxa"/>
        <w:jc w:val="left"/>
        <w:tblInd w:w="0" w:type="dxa"/>
        <w:tblLayout w:type="fixed"/>
        <w:tblCellMar>
          <w:top w:w="0" w:type="dxa"/>
          <w:left w:w="0" w:type="dxa"/>
          <w:bottom w:w="0" w:type="dxa"/>
          <w:right w:w="0" w:type="dxa"/>
        </w:tblCellMar>
      </w:tblPr>
      <w:tblGrid>
        <w:gridCol w:w="3894"/>
        <w:gridCol w:w="146"/>
        <w:gridCol w:w="226"/>
        <w:gridCol w:w="1066"/>
        <w:gridCol w:w="181"/>
        <w:gridCol w:w="146"/>
        <w:gridCol w:w="226"/>
        <w:gridCol w:w="886"/>
        <w:gridCol w:w="181"/>
        <w:gridCol w:w="146"/>
        <w:gridCol w:w="226"/>
        <w:gridCol w:w="1141"/>
        <w:gridCol w:w="181"/>
        <w:gridCol w:w="146"/>
        <w:gridCol w:w="226"/>
        <w:gridCol w:w="961"/>
        <w:gridCol w:w="226"/>
      </w:tblGrid>
      <w:tr>
        <w:trPr/>
        <w:tc>
          <w:tcPr>
            <w:tcW w:w="38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1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c>
          <w:tcPr>
            <w:tcW w:w="146" w:type="dxa"/>
            <w:tcBorders/>
            <w:vAlign w:val="bottom"/>
          </w:tcPr>
          <w:p>
            <w:pPr>
              <w:pStyle w:val="TableContents"/>
              <w:bidi w:val="0"/>
              <w:spacing w:before="0" w:after="283"/>
              <w:jc w:val="left"/>
              <w:rPr/>
            </w:pPr>
            <w:r>
              <w:rPr/>
              <w:t> </w:t>
            </w:r>
          </w:p>
        </w:tc>
        <w:tc>
          <w:tcPr>
            <w:tcW w:w="310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38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(2,380,926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(27,514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(79,043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5,426,739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(118,326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32,401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3,020,342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(113,439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3,965,607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17"/>
      <w:bookmarkEnd w:id="13"/>
      <w:r>
        <w:rPr>
          <w:rFonts w:ascii="Times New Roman PS Std;serif" w:hAnsi="Times New Roman PS Std;serif"/>
          <w:b/>
          <w:i w:val="false"/>
          <w:caps w:val="false"/>
          <w:smallCaps w:val="false"/>
          <w:sz w:val="20"/>
        </w:rPr>
        <w:t xml:space="preserve">MANAGEMENT’S DISCUSSION AND ANALYSIS OF FINANCIAL CONDITION AND </w:t>
        <w:br/>
        <w:t>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such as statements of our plans, objectives, expectations and intentions. The cautionary statements made in this prospectus should be read as applying to all related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digital transformation enabler in the SME segment of the e-commerce enablement and digital optimizing services market in Singapore.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Business consulting:    </w:t>
      </w: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IT customization:    </w:t>
      </w:r>
      <w:r>
        <w:rPr>
          <w:rFonts w:ascii="Times New Roman PS Std;serif" w:hAnsi="Times New Roman PS Std;serif"/>
          <w:b w:val="false"/>
          <w:i w:val="false"/>
          <w:caps w:val="false"/>
          <w:smallCaps w:val="false"/>
          <w:sz w:val="2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customized offerings that address the specific needs of clients in our strategic vertical markets. As of June 30,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Factors Affecting Our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growth and future success of our business depends on many factors. While these factors present significant opportunities for our business, they also pose important challenges we must successfully address in order to sustain our growth.</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Expanding our solutions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launched Tridentity in the fourth quarter of 2023. We may expend significant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Acquiring new clients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Expanding into new verticals and new markets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Continued investment in innovation and growth</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Components of Our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derive revenues principally from providing business consulting services and IT customization services.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Business consulting.    </w:t>
      </w:r>
      <w:r>
        <w:rPr>
          <w:rFonts w:ascii="Times New Roman PS Std;serif" w:hAnsi="Times New Roman PS Std;serif"/>
          <w:b w:val="false"/>
          <w:i w:val="false"/>
          <w:caps w:val="false"/>
          <w:smallCaps w:val="false"/>
          <w:sz w:val="20"/>
        </w:rPr>
        <w:t>We provide a wide range of business consulting services to customers of various industries, from business strategy advisory, design of business workflows and processes, brand and reputation, to digital marketing in achieving organization objectives such as enhancing cost efficiency, productivity and customer experience.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IT customization.    </w:t>
      </w:r>
      <w:r>
        <w:rPr>
          <w:rFonts w:ascii="Times New Roman PS Std;serif" w:hAnsi="Times New Roman PS Std;serif"/>
          <w:b w:val="false"/>
          <w:i w:val="false"/>
          <w:caps w:val="false"/>
          <w:smallCaps w:val="false"/>
          <w:sz w:val="20"/>
        </w:rPr>
        <w:t>We offer IT customization services, including tailor-made IT solutions or packaged software solutions to meet clients’ objectives. Our services cover end-to-end solutions, including IT consultancy, design of the system architecture, planning and design of the solution, implementation, quality assurance, as well as maintenance support services.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include general and administrative expenses, selling expenses and research and development expenses. General and administrative expenses mainly consist of (i) salary and social welfare expenses to the management team, (ii) rental cost for offices, and (iii) depreciation expenses. Our selling expenses mainly consist of (i) salary and social welfare expenses to the marketing team, and (ii) advertising costs and market promotion expenses. Our research and development expenses mainly consist of system development expenses for Tridentity, our Web 3.0 e-commerce platform.</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mainly consists of (i) government subsidies, (ii) non-refundable service fee from terminated consulting projects, (iii) referral commission, and (iv) interest expenses.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Six months ended June 30, 2023 Compared to Six months ended June 30,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consolidated statements of income for the six months ended June 30, 2023 and 2022, respectively.</w:t>
      </w:r>
    </w:p>
    <w:tbl>
      <w:tblPr>
        <w:tblW w:w="10205" w:type="dxa"/>
        <w:jc w:val="left"/>
        <w:tblInd w:w="0" w:type="dxa"/>
        <w:tblLayout w:type="fixed"/>
        <w:tblCellMar>
          <w:top w:w="0" w:type="dxa"/>
          <w:left w:w="0" w:type="dxa"/>
          <w:bottom w:w="0" w:type="dxa"/>
          <w:right w:w="0" w:type="dxa"/>
        </w:tblCellMar>
      </w:tblPr>
      <w:tblGrid>
        <w:gridCol w:w="3222"/>
        <w:gridCol w:w="146"/>
        <w:gridCol w:w="226"/>
        <w:gridCol w:w="1291"/>
        <w:gridCol w:w="196"/>
        <w:gridCol w:w="146"/>
        <w:gridCol w:w="226"/>
        <w:gridCol w:w="1081"/>
        <w:gridCol w:w="196"/>
        <w:gridCol w:w="146"/>
        <w:gridCol w:w="226"/>
        <w:gridCol w:w="1291"/>
        <w:gridCol w:w="196"/>
        <w:gridCol w:w="146"/>
        <w:gridCol w:w="1066"/>
        <w:gridCol w:w="404"/>
      </w:tblGrid>
      <w:tr>
        <w:trPr/>
        <w:tc>
          <w:tcPr>
            <w:tcW w:w="322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6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71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br/>
              <w:t>amount</w:t>
            </w:r>
          </w:p>
        </w:tc>
        <w:tc>
          <w:tcPr>
            <w:tcW w:w="146" w:type="dxa"/>
            <w:vMerge w:val="restart"/>
            <w:tcBorders/>
            <w:vAlign w:val="bottom"/>
          </w:tcPr>
          <w:p>
            <w:pPr>
              <w:pStyle w:val="TableContents"/>
              <w:bidi w:val="0"/>
              <w:spacing w:before="0" w:after="283"/>
              <w:jc w:val="left"/>
              <w:rPr/>
            </w:pPr>
            <w:r>
              <w:rPr/>
              <w:t> </w:t>
            </w:r>
          </w:p>
        </w:tc>
        <w:tc>
          <w:tcPr>
            <w:tcW w:w="1470"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w:t>
              <w:br/>
              <w:t>of change</w:t>
            </w:r>
          </w:p>
        </w:tc>
      </w:tr>
      <w:tr>
        <w:trPr/>
        <w:tc>
          <w:tcPr>
            <w:tcW w:w="32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0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1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70" w:type="dxa"/>
            <w:gridSpan w:val="2"/>
            <w:vMerge w:val="continue"/>
            <w:tcBorders/>
            <w:vAlign w:val="bottom"/>
          </w:tcPr>
          <w:p>
            <w:pPr>
              <w:pStyle w:val="Normal"/>
              <w:bidi w:val="0"/>
              <w:jc w:val="left"/>
              <w:rPr/>
            </w:pPr>
            <w:r>
              <w:rPr/>
            </w:r>
          </w:p>
        </w:tc>
      </w:tr>
      <w:tr>
        <w:trPr/>
        <w:tc>
          <w:tcPr>
            <w:tcW w:w="3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481,165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475,123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40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(389,569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(378,896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w:t>
            </w:r>
          </w:p>
        </w:tc>
        <w:tc>
          <w:tcPr>
            <w:tcW w:w="40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91,596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96,227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(4,631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(4.81</w:t>
            </w:r>
          </w:p>
        </w:tc>
        <w:tc>
          <w:tcPr>
            <w:tcW w:w="40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w:t>
            </w:r>
          </w:p>
        </w:tc>
      </w:tr>
      <w:tr>
        <w:trPr/>
        <w:tc>
          <w:tcPr>
            <w:tcW w:w="3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(253,343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(71,530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(181,813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254.18</w:t>
            </w:r>
          </w:p>
        </w:tc>
        <w:tc>
          <w:tcPr>
            <w:tcW w:w="40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(1,551,710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(170,817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(1,380,893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808.40</w:t>
            </w:r>
          </w:p>
        </w:tc>
        <w:tc>
          <w:tcPr>
            <w:tcW w:w="40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(192,855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(80,883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(111,972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138.44</w:t>
            </w:r>
          </w:p>
        </w:tc>
        <w:tc>
          <w:tcPr>
            <w:tcW w:w="40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(1,997,908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(323,230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(1,674,678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518.11</w:t>
            </w:r>
          </w:p>
        </w:tc>
        <w:tc>
          <w:tcPr>
            <w:tcW w:w="40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(1,906,312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(227,003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(1,679,309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739.77</w:t>
            </w:r>
          </w:p>
        </w:tc>
        <w:tc>
          <w:tcPr>
            <w:tcW w:w="40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(25,400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w:t>
            </w:r>
          </w:p>
        </w:tc>
        <w:tc>
          <w:tcPr>
            <w:tcW w:w="40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(1,861,412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(156,703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(1,704,709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1,087.86</w:t>
            </w:r>
          </w:p>
        </w:tc>
        <w:tc>
          <w:tcPr>
            <w:tcW w:w="40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(1,861,412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(156,703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(1,704,709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1,087.86</w:t>
            </w:r>
          </w:p>
        </w:tc>
        <w:tc>
          <w:tcPr>
            <w:tcW w:w="40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revenues by revenue streams for the six months ended June 30, 2023 and 2022 is summarized below:</w:t>
      </w:r>
    </w:p>
    <w:tbl>
      <w:tblPr>
        <w:tblW w:w="8002" w:type="dxa"/>
        <w:jc w:val="left"/>
        <w:tblInd w:w="0" w:type="dxa"/>
        <w:tblLayout w:type="fixed"/>
        <w:tblCellMar>
          <w:top w:w="0" w:type="dxa"/>
          <w:left w:w="0" w:type="dxa"/>
          <w:bottom w:w="0" w:type="dxa"/>
          <w:right w:w="0" w:type="dxa"/>
        </w:tblCellMar>
      </w:tblPr>
      <w:tblGrid>
        <w:gridCol w:w="2311"/>
        <w:gridCol w:w="146"/>
        <w:gridCol w:w="1271"/>
        <w:gridCol w:w="187"/>
        <w:gridCol w:w="1271"/>
        <w:gridCol w:w="146"/>
        <w:gridCol w:w="961"/>
        <w:gridCol w:w="196"/>
        <w:gridCol w:w="146"/>
        <w:gridCol w:w="946"/>
        <w:gridCol w:w="421"/>
      </w:tblGrid>
      <w:tr>
        <w:trPr/>
        <w:tc>
          <w:tcPr>
            <w:tcW w:w="23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2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267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Variances</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283"/>
              <w:jc w:val="left"/>
              <w:rPr/>
            </w:pPr>
            <w:r>
              <w:rPr/>
              <w:t> </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Business consultin</w:t>
            </w: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113,764</w:t>
            </w:r>
          </w:p>
        </w:tc>
        <w:tc>
          <w:tcPr>
            <w:tcW w:w="187"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192,513</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(78,749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(40.91</w:t>
            </w:r>
          </w:p>
        </w:tc>
        <w:tc>
          <w:tcPr>
            <w:tcW w:w="42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customization</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367,401</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282,610</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84,791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30.00</w:t>
            </w:r>
          </w:p>
        </w:tc>
        <w:tc>
          <w:tcPr>
            <w:tcW w:w="42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130,289</w:t>
            </w:r>
          </w:p>
        </w:tc>
        <w:tc>
          <w:tcPr>
            <w:tcW w:w="187"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272,874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(142,585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(52.25</w:t>
            </w:r>
          </w:p>
        </w:tc>
        <w:tc>
          <w:tcPr>
            <w:tcW w:w="42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software</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237,112</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9,736</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227,376</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2,335.41</w:t>
            </w:r>
          </w:p>
        </w:tc>
        <w:tc>
          <w:tcPr>
            <w:tcW w:w="42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shd w:fill="CCEEFF" w:val="clear"/>
            <w:vAlign w:val="bottom"/>
          </w:tcPr>
          <w:p>
            <w:pPr>
              <w:pStyle w:val="TableContents"/>
              <w:bidi w:val="0"/>
              <w:spacing w:before="0" w:after="283"/>
              <w:jc w:val="left"/>
              <w:rPr/>
            </w:pPr>
            <w:r>
              <w:rPr/>
              <w:t> </w:t>
            </w:r>
          </w:p>
        </w:tc>
        <w:tc>
          <w:tcPr>
            <w:tcW w:w="1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481,165</w:t>
            </w:r>
          </w:p>
        </w:tc>
        <w:tc>
          <w:tcPr>
            <w:tcW w:w="187" w:type="dxa"/>
            <w:tcBorders/>
            <w:shd w:fill="CCEEFF" w:val="clear"/>
            <w:vAlign w:val="bottom"/>
          </w:tcPr>
          <w:p>
            <w:pPr>
              <w:pStyle w:val="TableContents"/>
              <w:bidi w:val="0"/>
              <w:spacing w:before="0" w:after="283"/>
              <w:jc w:val="left"/>
              <w:rPr/>
            </w:pPr>
            <w:r>
              <w:rPr/>
              <w:t> </w:t>
            </w:r>
          </w:p>
        </w:tc>
        <w:tc>
          <w:tcPr>
            <w:tcW w:w="1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475,123</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6,042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1.27</w:t>
            </w:r>
          </w:p>
        </w:tc>
        <w:tc>
          <w:tcPr>
            <w:tcW w:w="42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revenues slightly increased by 1.27%, from US$475,123 for the six months ended June 30, 2022 to US$481,165 for the six months ended June 30, 2023. The increase was primarily due to the rapid development of our management software launched in second quarter of 2022, partially offset by the decrease of revenue from business consulting and IT consulting.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Business consulting.    </w:t>
      </w:r>
      <w:r>
        <w:rPr>
          <w:rFonts w:ascii="Times New Roman PS Std;serif" w:hAnsi="Times New Roman PS Std;serif"/>
          <w:b w:val="false"/>
          <w:i w:val="false"/>
          <w:caps w:val="false"/>
          <w:smallCaps w:val="false"/>
          <w:sz w:val="20"/>
        </w:rPr>
        <w:t>Net revenues from business consulting services decreased from US$192,513 for the six months ended June 30, 2022 to US$113,764 for the six months ended June 30, 2023, primarily attributed to (i) reduction of business consulting projects were completed, delivered and accepted by customers for the six months ended June 30, 2023; and partially offset by (ii) the appreciation of SGD against USD in our reporting currency translation from 1.3651 for the six months ended June 30, 2022 to 1.3361 for the six months ended June 30, 2023. The average contract price of completed projects were US$37,921 and US$32,086 for the six months ended June 30, 2023 and 2022,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IT customization.    </w:t>
      </w:r>
      <w:r>
        <w:rPr>
          <w:rFonts w:ascii="Times New Roman PS Std;serif" w:hAnsi="Times New Roman PS Std;serif"/>
          <w:b w:val="false"/>
          <w:i w:val="false"/>
          <w:caps w:val="false"/>
          <w:smallCaps w:val="false"/>
          <w:sz w:val="20"/>
        </w:rPr>
        <w:t>Net revenues from IT customization increased from US$282,610 for the six months ended June 30, 2022 to US$367,401 for the six months ended June 30, 2023, primarily due to (i) our newly engaged business line in providing management software solutions in second quarter of 2022, the business has thrived and generated greater revenue for the six months ended June 30, 2023; (ii) the appreciation of SGD against USD in our reporting currency translation; (iii) the increased of average contract price of US$37,857 from US$27,287 for the six months ended June 30, 2022 to US$65,145; and partially offset by (iv) reduction of IT customization projects were completed, delivered and accepted by customers for the six months ended June 30, 2023.</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cost of revenues for the six months ended June 30, 2023 and 2022 is summarized below:</w:t>
      </w:r>
    </w:p>
    <w:tbl>
      <w:tblPr>
        <w:tblW w:w="7927" w:type="dxa"/>
        <w:jc w:val="left"/>
        <w:tblInd w:w="0" w:type="dxa"/>
        <w:tblLayout w:type="fixed"/>
        <w:tblCellMar>
          <w:top w:w="0" w:type="dxa"/>
          <w:left w:w="0" w:type="dxa"/>
          <w:bottom w:w="0" w:type="dxa"/>
          <w:right w:w="0" w:type="dxa"/>
        </w:tblCellMar>
      </w:tblPr>
      <w:tblGrid>
        <w:gridCol w:w="2596"/>
        <w:gridCol w:w="146"/>
        <w:gridCol w:w="1271"/>
        <w:gridCol w:w="187"/>
        <w:gridCol w:w="1271"/>
        <w:gridCol w:w="146"/>
        <w:gridCol w:w="856"/>
        <w:gridCol w:w="181"/>
        <w:gridCol w:w="146"/>
        <w:gridCol w:w="721"/>
        <w:gridCol w:w="406"/>
      </w:tblGrid>
      <w:tr>
        <w:trPr/>
        <w:tc>
          <w:tcPr>
            <w:tcW w:w="25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2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231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Variances</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bidi w:val="0"/>
              <w:spacing w:before="0" w:after="283"/>
              <w:jc w:val="left"/>
              <w:rPr/>
            </w:pPr>
            <w:r>
              <w:rPr/>
              <w:t> </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fees</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246,572</w:t>
            </w:r>
          </w:p>
        </w:tc>
        <w:tc>
          <w:tcPr>
            <w:tcW w:w="187"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235,583</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10,989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labor costs</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122,142</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116,761</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5,381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cost</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20,855</w:t>
            </w:r>
          </w:p>
        </w:tc>
        <w:tc>
          <w:tcPr>
            <w:tcW w:w="187"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26,552</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bottom"/>
          </w:tcPr>
          <w:p>
            <w:pPr>
              <w:pStyle w:val="TableContents"/>
              <w:bidi w:val="0"/>
              <w:spacing w:before="0" w:after="283"/>
              <w:jc w:val="left"/>
              <w:rPr/>
            </w:pPr>
            <w:r>
              <w:rPr/>
              <w:t> </w:t>
            </w:r>
          </w:p>
        </w:tc>
        <w:tc>
          <w:tcPr>
            <w:tcW w:w="12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389,569</w:t>
            </w:r>
          </w:p>
        </w:tc>
        <w:tc>
          <w:tcPr>
            <w:tcW w:w="187" w:type="dxa"/>
            <w:tcBorders/>
            <w:vAlign w:val="bottom"/>
          </w:tcPr>
          <w:p>
            <w:pPr>
              <w:pStyle w:val="TableContents"/>
              <w:bidi w:val="0"/>
              <w:spacing w:before="0" w:after="283"/>
              <w:jc w:val="left"/>
              <w:rPr/>
            </w:pPr>
            <w:r>
              <w:rPr/>
              <w:t> </w:t>
            </w:r>
          </w:p>
        </w:tc>
        <w:tc>
          <w:tcPr>
            <w:tcW w:w="12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378,896</w:t>
            </w:r>
          </w:p>
        </w:tc>
        <w:tc>
          <w:tcPr>
            <w:tcW w:w="146" w:type="dxa"/>
            <w:tcBorders/>
            <w:vAlign w:val="bottom"/>
          </w:tcPr>
          <w:p>
            <w:pPr>
              <w:pStyle w:val="TableContents"/>
              <w:bidi w:val="0"/>
              <w:spacing w:before="0" w:after="283"/>
              <w:jc w:val="left"/>
              <w:rPr/>
            </w:pPr>
            <w:r>
              <w:rPr/>
              <w:t> </w:t>
            </w:r>
          </w:p>
        </w:tc>
        <w:tc>
          <w:tcPr>
            <w:tcW w:w="85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10,673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slightly increased by 2.82%, from US$378,896 for the six months ended June 30, 2022 to US$389,569 for the six months ended June 30,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Service fees.    </w:t>
      </w:r>
      <w:r>
        <w:rPr>
          <w:rFonts w:ascii="Times New Roman PS Std;serif" w:hAnsi="Times New Roman PS Std;serif"/>
          <w:b w:val="false"/>
          <w:i w:val="false"/>
          <w:caps w:val="false"/>
          <w:smallCaps w:val="false"/>
          <w:sz w:val="20"/>
        </w:rPr>
        <w:t>Service fees increased from US$235,583 for the six months ended June 30, 2022 to US$246,572 for the six months ended June 30, 2023, primarily due to the increase of incremental commission costs related to management software, partially offset by the decrease of service fees paid to suppliers or outsourcers related to business consulting and IT consulting, which in line with the completion status and revenue recognized.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 labor costs.    </w:t>
      </w:r>
      <w:r>
        <w:rPr>
          <w:rFonts w:ascii="Times New Roman PS Std;serif" w:hAnsi="Times New Roman PS Std;serif"/>
          <w:b w:val="false"/>
          <w:i w:val="false"/>
          <w:caps w:val="false"/>
          <w:smallCaps w:val="false"/>
          <w:sz w:val="20"/>
        </w:rPr>
        <w:t>Direct labor costs increased from US$116,761 for the six months ended June 30, 2022 to US$122,142 for the six months ended June 30, 2023, primarily related to increases in base salaries and bonuses to our staff since second half of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Miscellaneous costs.    </w:t>
      </w:r>
      <w:r>
        <w:rPr>
          <w:rFonts w:ascii="Times New Roman PS Std;serif" w:hAnsi="Times New Roman PS Std;serif"/>
          <w:b w:val="false"/>
          <w:i w:val="false"/>
          <w:caps w:val="false"/>
          <w:smallCaps w:val="false"/>
          <w:sz w:val="20"/>
        </w:rPr>
        <w:t>Miscellaneous cost decreased from US$26,552 for the six months ended June 30, 2022 to US$20,855 for the six months ended June 30, 2023, primarily due to the decrease of our outsourcing contractor fee for general project’s support, which is in line with the decrease of our revenues from business consulting and IT consulting.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increased by 518.11%, from US$323,230 for the six months ended June 30, 2022 to US$1,997,908 for the six months ended June 30, 2023.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Selling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selling and marketing expenses increased from US$71,530 for the six months ended June 30, 2022 to US$253,343 for the six months ended June 30, 2023, primarily as a result of the business development persons hired in the new subsidiary since second half of 2022 for the exploration of business opportunities and preparation to initiate our Web 3.0 e-commerce platform.</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general and administrative expenses increased from US$170,817 for the six months ended June 30, 2022 to US$1,551,710 for the six months ended June 30, 2023. The increase was primarily due to (i) the increase in staff costs from US$77,498 for the six months ended June 30, 2022 to US$561,731 for the six months ended June 30, 2023, as a result of an increase in the number of employees hired to meet our business needs; (ii) the increase in professional service fees from US$8,418 for the six months ended June 30, 2022 to US$483,256 for the six months ended June 30, 2023 related to IPO professional services and the initiation of the Web 3.0 e-commerce platform; (iii) the increase of rent expenses from US$17,874 for the six months ended June 30, 2022 to US$200,292 for the six months ended June 30, 2023, as a result of an increase office spaces rent to meet our expansion of new business; and (iv) the increase of other overhead expenses, as a result of our expansion of business.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research and development expenses increased from US$80,883 for the six months ended June 30, 2022 to US$192,855 for the six months ended June 30, 2023, primarily as a result of the increased of system development expenses for the Web 3.0 e-commerce platform.</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mainly consists of (i) government subsidies, (ii) referral commission, and (iii) interest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other income decreased from US$70,300 for the six months ended June 30, 2022 to US$44,900 for the six months ended June 30, 2023, primarily due to the decrease of government subsidies.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we incurred net loss of US$1,861,412 and US$156,703 for the six months ended June 30, 2023 and 2022. The increased of net loss was primarily due to our early-stage input on initiating Web 3.0 e-commerce platform, which led to a significant increase of our operating expenses for the six months ended June 30,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 Ended December 31, 2022 Compared to Year Ended December 31, 2021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consolidated statements of income for the years ended December 31, 2022 and 2021, respectively.</w:t>
      </w:r>
    </w:p>
    <w:tbl>
      <w:tblPr>
        <w:tblW w:w="10205" w:type="dxa"/>
        <w:jc w:val="left"/>
        <w:tblInd w:w="0" w:type="dxa"/>
        <w:tblLayout w:type="fixed"/>
        <w:tblCellMar>
          <w:top w:w="0" w:type="dxa"/>
          <w:left w:w="0" w:type="dxa"/>
          <w:bottom w:w="0" w:type="dxa"/>
          <w:right w:w="0" w:type="dxa"/>
        </w:tblCellMar>
      </w:tblPr>
      <w:tblGrid>
        <w:gridCol w:w="3280"/>
        <w:gridCol w:w="146"/>
        <w:gridCol w:w="226"/>
        <w:gridCol w:w="1291"/>
        <w:gridCol w:w="196"/>
        <w:gridCol w:w="146"/>
        <w:gridCol w:w="226"/>
        <w:gridCol w:w="1081"/>
        <w:gridCol w:w="196"/>
        <w:gridCol w:w="146"/>
        <w:gridCol w:w="226"/>
        <w:gridCol w:w="1291"/>
        <w:gridCol w:w="196"/>
        <w:gridCol w:w="146"/>
        <w:gridCol w:w="1066"/>
        <w:gridCol w:w="346"/>
      </w:tblGrid>
      <w:tr>
        <w:trPr/>
        <w:tc>
          <w:tcPr>
            <w:tcW w:w="328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6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171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 </w:t>
              <w:br/>
              <w:t>amount</w:t>
            </w:r>
          </w:p>
        </w:tc>
        <w:tc>
          <w:tcPr>
            <w:tcW w:w="146" w:type="dxa"/>
            <w:vMerge w:val="restart"/>
            <w:tcBorders/>
            <w:vAlign w:val="bottom"/>
          </w:tcPr>
          <w:p>
            <w:pPr>
              <w:pStyle w:val="TableContents"/>
              <w:bidi w:val="0"/>
              <w:spacing w:before="0" w:after="283"/>
              <w:jc w:val="left"/>
              <w:rPr/>
            </w:pPr>
            <w:r>
              <w:rPr/>
              <w:t> </w:t>
            </w:r>
          </w:p>
        </w:tc>
        <w:tc>
          <w:tcPr>
            <w:tcW w:w="1412"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br/>
              <w:t>of change</w:t>
            </w:r>
          </w:p>
        </w:tc>
      </w:tr>
      <w:tr>
        <w:trPr/>
        <w:tc>
          <w:tcPr>
            <w:tcW w:w="32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50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71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12" w:type="dxa"/>
            <w:gridSpan w:val="2"/>
            <w:vMerge w:val="continue"/>
            <w:tcBorders/>
            <w:vAlign w:val="bottom"/>
          </w:tcPr>
          <w:p>
            <w:pPr>
              <w:pStyle w:val="Normal"/>
              <w:bidi w:val="0"/>
              <w:jc w:val="left"/>
              <w:rPr/>
            </w:pPr>
            <w:r>
              <w:rPr/>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605,807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92.20</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(544,044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119.14</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61,763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30.81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(117,811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95.37</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(815,397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467.61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3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(1,220,786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409.78</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(1,256,486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(97,463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(1,159,023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1189.19</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131,790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155,475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(23,685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(Loss)/profit before income tax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(1,182,708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-2038.73</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23,252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(loss)/profit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(1,159,456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-3869.11</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revenues by revenue streams for the years ended December 31, 2022 and 2021 is summarized below:</w:t>
      </w:r>
    </w:p>
    <w:tbl>
      <w:tblPr>
        <w:tblW w:w="7280" w:type="dxa"/>
        <w:jc w:val="left"/>
        <w:tblInd w:w="0" w:type="dxa"/>
        <w:tblLayout w:type="fixed"/>
        <w:tblCellMar>
          <w:top w:w="0" w:type="dxa"/>
          <w:left w:w="0" w:type="dxa"/>
          <w:bottom w:w="0" w:type="dxa"/>
          <w:right w:w="0" w:type="dxa"/>
        </w:tblCellMar>
      </w:tblPr>
      <w:tblGrid>
        <w:gridCol w:w="2311"/>
        <w:gridCol w:w="146"/>
        <w:gridCol w:w="1201"/>
        <w:gridCol w:w="146"/>
        <w:gridCol w:w="991"/>
        <w:gridCol w:w="146"/>
        <w:gridCol w:w="991"/>
        <w:gridCol w:w="146"/>
        <w:gridCol w:w="856"/>
        <w:gridCol w:w="346"/>
      </w:tblGrid>
      <w:tr>
        <w:trPr/>
        <w:tc>
          <w:tcPr>
            <w:tcW w:w="23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233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Variances</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bidi w:val="0"/>
              <w:spacing w:before="0" w:after="283"/>
              <w:jc w:val="left"/>
              <w:rPr/>
            </w:pPr>
            <w:r>
              <w:rPr/>
              <w:t> </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consulting</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629,434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260,455</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368,979</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141.67</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customization</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633,465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396,637</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236,828</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59.71</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522,013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396,637</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125,376</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software</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3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1,262,899</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657,092</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605,807</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92.20</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revenues significantly increased from US$657,092 in 2021 to US$1,262,899 in 2022, representing a year-on-year increase of 92.20%. The increase was primarily due to our success in helping our clients to optimize and grow their business, resulting in positive feedback and our brand and services developing and expanding in the market and industry, which has brought us more clients and projects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Business consulting.    </w:t>
      </w:r>
      <w:r>
        <w:rPr>
          <w:rFonts w:ascii="Times New Roman PS Std;serif" w:hAnsi="Times New Roman PS Std;serif"/>
          <w:b w:val="false"/>
          <w:i w:val="false"/>
          <w:caps w:val="false"/>
          <w:smallCaps w:val="false"/>
          <w:sz w:val="20"/>
        </w:rPr>
        <w:t>Net revenues from business consulting services increased from US$260,455 in 2021 to US$629,434 in 2022, primarily attributed to (i) more business consulting projects were completed, delivered and accepted by customers in 2022; and (ii) we offered more comprehensive brand consulting services to assist our customers in building international brands in 2022, those contract prices are higher compared to the essential branding services for the local market in 2021. The average contract price of completed projects increased from US$37,208 in 2021 to US$44,960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IT customization.    </w:t>
      </w:r>
      <w:r>
        <w:rPr>
          <w:rFonts w:ascii="Times New Roman PS Std;serif" w:hAnsi="Times New Roman PS Std;serif"/>
          <w:b w:val="false"/>
          <w:i w:val="false"/>
          <w:caps w:val="false"/>
          <w:smallCaps w:val="false"/>
          <w:sz w:val="20"/>
        </w:rPr>
        <w:t>Net revenues from IT customization increased from US$396,637 in 2021 to US$633,465 in 2022, primarily due to (i) more IT customization projects were completed, delivered and accepted by customers in 2022; (ii) increase on average contract price of completed IT consulting projects from US$49,580 in 2021 to US$57,588 in 2022; and (iii) our newly engaged business line in providing management software solutions and the revenue was recognized in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cost of revenues for the years ended December 31, 2022 and 2021 is summarized below:</w:t>
      </w:r>
    </w:p>
    <w:tbl>
      <w:tblPr>
        <w:tblW w:w="7565" w:type="dxa"/>
        <w:jc w:val="left"/>
        <w:tblInd w:w="0" w:type="dxa"/>
        <w:tblLayout w:type="fixed"/>
        <w:tblCellMar>
          <w:top w:w="0" w:type="dxa"/>
          <w:left w:w="0" w:type="dxa"/>
          <w:bottom w:w="0" w:type="dxa"/>
          <w:right w:w="0" w:type="dxa"/>
        </w:tblCellMar>
      </w:tblPr>
      <w:tblGrid>
        <w:gridCol w:w="2596"/>
        <w:gridCol w:w="146"/>
        <w:gridCol w:w="1201"/>
        <w:gridCol w:w="146"/>
        <w:gridCol w:w="991"/>
        <w:gridCol w:w="146"/>
        <w:gridCol w:w="991"/>
        <w:gridCol w:w="146"/>
        <w:gridCol w:w="856"/>
        <w:gridCol w:w="346"/>
      </w:tblGrid>
      <w:tr>
        <w:trPr/>
        <w:tc>
          <w:tcPr>
            <w:tcW w:w="25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233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Variances</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bidi w:val="0"/>
              <w:spacing w:before="0" w:after="283"/>
              <w:jc w:val="left"/>
              <w:rPr/>
            </w:pPr>
            <w:r>
              <w:rPr/>
              <w:t> </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fees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710,793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232,290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478,503</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205.99</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labor costs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239,296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199,749</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39,547</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Commission cost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10,082</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4,389</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77.09</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cost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40,518</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21,605</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114.23</w:t>
            </w:r>
          </w:p>
        </w:tc>
        <w:tc>
          <w:tcPr>
            <w:tcW w:w="3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1,000,689</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456,645</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544,044</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119.14</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increased from US$456,645 in 2021 to US$1,000,689 in 2022, representing a year-on-year increase of 119.14%.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Service fees.    </w:t>
      </w:r>
      <w:r>
        <w:rPr>
          <w:rFonts w:ascii="Times New Roman PS Std;serif" w:hAnsi="Times New Roman PS Std;serif"/>
          <w:b w:val="false"/>
          <w:i w:val="false"/>
          <w:caps w:val="false"/>
          <w:smallCaps w:val="false"/>
          <w:sz w:val="20"/>
        </w:rPr>
        <w:t>Service fees increased from US$232,290 in 2021 to US$710,793 in 2022, primarily due to the increase of service fees paid to suppliers or outsourcers, as a result of the fulfillment of increased project demands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 labor costs.    </w:t>
      </w:r>
      <w:r>
        <w:rPr>
          <w:rFonts w:ascii="Times New Roman PS Std;serif" w:hAnsi="Times New Roman PS Std;serif"/>
          <w:b w:val="false"/>
          <w:i w:val="false"/>
          <w:caps w:val="false"/>
          <w:smallCaps w:val="false"/>
          <w:sz w:val="20"/>
        </w:rPr>
        <w:t>Direct labor costs increased from US$199,749 in 2021 to US$239,296 in 2022, primarily related to increases in base salaries and bonuses to our staff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Commission costs.    </w:t>
      </w:r>
      <w:r>
        <w:rPr>
          <w:rFonts w:ascii="Times New Roman PS Std;serif" w:hAnsi="Times New Roman PS Std;serif"/>
          <w:b w:val="false"/>
          <w:i w:val="false"/>
          <w:caps w:val="false"/>
          <w:smallCaps w:val="false"/>
          <w:sz w:val="20"/>
        </w:rPr>
        <w:t>Commission costs increased from US$5,693 in 2021 to US$10,082 in 2022, primarily attributed to the incremental commission costs needed to obtain new sales contracts related to our newly engaged business line in providing management software solutions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Miscellaneous costs.    </w:t>
      </w:r>
      <w:r>
        <w:rPr>
          <w:rFonts w:ascii="Times New Roman PS Std;serif" w:hAnsi="Times New Roman PS Std;serif"/>
          <w:b w:val="false"/>
          <w:i w:val="false"/>
          <w:caps w:val="false"/>
          <w:smallCaps w:val="false"/>
          <w:sz w:val="20"/>
        </w:rPr>
        <w:t>Miscellaneous cost increased from US$18,913 in 2021 to US$40,518 in 2022, primarily due to the increase of our outsourcing contractor fee for general project’s support, which is in line with the increase of our revenues in 2022.</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increased from US$297,910 in 2021 to US$1,518,696 in 2022, representing a year-on-year increase of 409.78%.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Selling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selling and marketing expenses increased from US$123,533 in 2021 to US$241,344 in 2022, primarily as a result of the business development persons hired in the new subsidiary in 2022 for the exploration of business opportunities and preparation to initiate our Web 3.0 e-commerce platform.</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general and administrative expenses increased from US$174,377 in 2021 to US$989,774 in 2022. The increase was primarily due to (i) the increase in staff costs from US$87,472 in 2021 to US$501,943 in 2022 as a result of an increase in the number of employees hired to meet our business needs, especially for our newly established subsidiary, (ii) the increase in professional service fees from US$6,139 in 2021 to US$134,523 in 2022 related to the initiation of the Web 3.0 e-commerce platform, and (iii) the increase of other overhead expenses, as a result of our expansion of business.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research and development expenses increased from nil in 2021 to US$287,578 in 2022, primarily as a result of the system development expenses for the Web 3.0 e-commerce platform in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mainly consists of (i) government subsidies, (ii) non-refundable service fees from terminated consulting projects, (iii) referral commission, and (iv) interest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other income decreased from US$155,475 in 2021 to US$131,790 in 2022, primarily due to the decrease of referral commissions received for client referrals.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we incurred a net loss of US$1,129,489 in 2022, and recorded a net income of US$29,967 in 2021. The net loss in 2022 was primarily due to our early-stage input on initiating Web 3.0 e-commerce platform, which led to a significant increase of our operating expenses in 2022.</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primary sources of liquidity have been cash flows from our operating activities, capital contributions from shareholders and loans from banks. As of June 30, 2023 and December 31, 2022, we had cash of US$3,965,607 and US$945,265, and total working capital deficit of US$3,270,695 and US$1,236,728, respectively.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current cash and expected cash provided by this offering will be sufficient to meet our current and anticipated working capital requirements and capital expenditures for at least the next 12 months.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flows for the periods indicated:</w:t>
      </w:r>
    </w:p>
    <w:tbl>
      <w:tblPr>
        <w:tblW w:w="10205" w:type="dxa"/>
        <w:jc w:val="left"/>
        <w:tblInd w:w="0" w:type="dxa"/>
        <w:tblLayout w:type="fixed"/>
        <w:tblCellMar>
          <w:top w:w="0" w:type="dxa"/>
          <w:left w:w="0" w:type="dxa"/>
          <w:bottom w:w="0" w:type="dxa"/>
          <w:right w:w="0" w:type="dxa"/>
        </w:tblCellMar>
      </w:tblPr>
      <w:tblGrid>
        <w:gridCol w:w="3534"/>
        <w:gridCol w:w="146"/>
        <w:gridCol w:w="241"/>
        <w:gridCol w:w="1066"/>
        <w:gridCol w:w="181"/>
        <w:gridCol w:w="146"/>
        <w:gridCol w:w="241"/>
        <w:gridCol w:w="991"/>
        <w:gridCol w:w="181"/>
        <w:gridCol w:w="146"/>
        <w:gridCol w:w="241"/>
        <w:gridCol w:w="1201"/>
        <w:gridCol w:w="181"/>
        <w:gridCol w:w="146"/>
        <w:gridCol w:w="241"/>
        <w:gridCol w:w="1081"/>
        <w:gridCol w:w="241"/>
      </w:tblGrid>
      <w:tr>
        <w:trPr/>
        <w:tc>
          <w:tcPr>
            <w:tcW w:w="35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4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33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35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62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6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5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(2,380,926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(27,514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(79,043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5,426,739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(118,326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32,401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671,672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255,956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3,020,342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(113,439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5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beginning of period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end of period</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273,593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3,965,607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160,154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six months ended June 30, 2023 was US$2,380,926, primarily attributable to (i) our net loss of US$1,861,412, as adjusted by the reconciliation of net loss to net cash used in operating activities, which primarily comprised depreciation of right-of-use assets of US$163,534 and depreciation and amortization of US$18,837; and (ii) changes in operating assets and liabilities, which was primarily the result of (a) an increase in deferred offering costs of US$437,299, (b) an increase in contract cost assets of US$271,987, (c) a decrease in operating lease liabilities of US$137,438, and (d) a decrease in accrued expenses and other current liabilities of US$73,036, partially offset by an increase in deferred revenue of US$356,621.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six months ended June 30, 2022 was US$27,514, primarily attributable to (i) our net loss of US$156,703, as adjusted by the reconciliation of net loss to net cash used in operating activities, which primarily comprised depreciation of right-of-use asset of US$11,916 and depreciation and amortization of US$5,663; and (ii) changes in operating assets and liabilities, which was primarily the result of an increase in contract cost assets of US$120,607, partially offset by (a) an increase in accrued expenses and other current liabilities of US$124,342, and (b) an increase in accounts payable of US$104,876.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in 2022 was US$609,946, primarily attributable to (i) our net loss of US$1,129,489, as adjusted by the reconciliation of net loss to net cash used in operating activities, which primarily comprised depreciation of right-of-use assets of US$101,099 and depreciation and amortization of US$16,867, and (ii) changes in operating assets and liabilities, which was primarily the result of (a) an increase in prepaid expenses and other current assets of US$111,981, (b) an increase in contract cost assets of US$268,509, and (c) a decrease in operating lease liabilities of US$127,196, partially offset by (a) an increase in deferred revenue of US$461,128; (b) an increase in accrued expenses and other current liabilities of US$249,052; and (c) an increase in accounts payable of US$166,358.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in 2021 was US$244,100, primarily attributable to (i) our net income of US$29,967, as adjusted by the reconciliation of net income to net cash provided by operating activities, which primarily comprised depreciation of right-of-use asset of US$5,996 and depreciation and amortization of US$5,363, and (ii) changes in operating assets and liabilities, which was primarily the result of (a) an increase in deferred revenue of US$192,935; (b) an increase in accrued expenses and other current liabilities of US$54,678, and (c) an increase in accounts payable of US$51,491, partially offset by (a) an increase in accounts receivable, net of US$118,779.</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six months ended June 30, 2023 was US$79,043, which was primarily attributable to purchase of property and equipment in the amount of US$79,043.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six months ended June 30, 2022 was nil.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in 2022 was US$73,885, which was primarily attributable to purchase of property and equipment in the amount of US$73,885 for our newly established subsidiary.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in 2021 was US$53,313, which was primarily attributable to purchase of property and equipment in the amount of US$53,313 for business expansion.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for the six months ended June 30, 2023 was US$5,426,739, which primarily comprised (i) subscription fees advance from shareholders of US$7,065,861; and (ii) loans from related parties of US$355,716, partially offset by (i) loans to related parties of US$1,007,634; (ii) repayment of loans from related parties of US$845,200; (iii) repayments of long-term bank loans of US$67,159; and (iv) dividend distribution of $74,845.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for the six months ended June 30, 2022 was US$118,326, which primarily comprised (i) loans from related parties of US$1,465, partially offset by dividend distribution of US$106,219; and (ii) repayment of long-term bank loans of US$13,572.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in 2022 was US$1,378,257, which primarily comprised (i) loans from related parties of US$748,533, (ii) proceeds from long-term bank loans of US$652,789, and (iii) subscription fees advance from a shareholder of US$ 524,560, partially offset by (i) repayment of loans from related parties of US$239,357, and (iii) dividend distribution of US$229,201.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in 2021 was US$66,030, which primarily comprised (i) proceeds from long-term bank loans of US$48,370 and (ii) loans from related parties of US$44,650, partially offset by repayment of loans from related parties of US$22,325 and (ii) repayment of long-term bank loans of US$4,665.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Expenditures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capital expenditures are primarily incurred for purposes of purchasing office and electric equipment and investments in office renovation. Our capital expenditures were US$79,043, US$73,885 and US$53,313 for the six months ended June 30, 2023, for the year ended December 31, 2022 and 2021, respectively. We intend to fund our future capital expenditures with our existing cash balance and proceeds from this offering. We will continue to make well-planned capital expenditures to meet the expected growth of our 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future minimum lease payments under the non-cancellable operating lease with respect to the office and the warehouse as of June 30, 2023 are payable as follows:</w:t>
      </w:r>
    </w:p>
    <w:tbl>
      <w:tblPr>
        <w:tblW w:w="2892" w:type="dxa"/>
        <w:jc w:val="left"/>
        <w:tblInd w:w="0" w:type="dxa"/>
        <w:tblLayout w:type="fixed"/>
        <w:tblCellMar>
          <w:top w:w="0" w:type="dxa"/>
          <w:left w:w="0" w:type="dxa"/>
          <w:bottom w:w="0" w:type="dxa"/>
          <w:right w:w="0" w:type="dxa"/>
        </w:tblCellMar>
      </w:tblPr>
      <w:tblGrid>
        <w:gridCol w:w="616"/>
        <w:gridCol w:w="146"/>
        <w:gridCol w:w="359"/>
        <w:gridCol w:w="1771"/>
      </w:tblGrid>
      <w:tr>
        <w:trPr/>
        <w:tc>
          <w:tcPr>
            <w:tcW w:w="6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Lease Commitment</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215,285</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445,552</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427,228</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364,534</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225,793</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5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1,678,392</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nature of our business does not appear to be affected by seasonal variations.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Management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assumptions on our own historical data and other assumptions that we believe are reasonable after taking account of our circumstances and expectations for the future based on available information. We evaluate these estimates and assumptions on an ongoing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our selection of critical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judgments and other uncertainties affecting the application of such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sensitivity of reported results to changes in conditions and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critical accounting policies and practices include the following: (i) accounts receivable, net; (ii) 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allowance for doubtful accounts for accounts receivable and (ii) valuation allowance of deferred tax assets.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Allowance for doubtful accounts for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stated at the original amount less an allowance for doubtful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 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provision of allowance for doubtful accounts as of June 30, 2023, December 31, 2022 and 2021.</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Valuation of deferred tax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December 31, 2022 and 2021. Thus, management decided to record all of the valuation allowance. Valuation allowance amounted to US$630,695, US$238,081 and US$30,974 as of June 30, 2023, December 31, 2022 and 2021,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discuss recent standards that are not anticipated to have an impact on or are unrelated to its consolidated financial condition, results of operations, cash flows or disclosures.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Inflation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interest rate risk while we have bank loans. Although interest rates for our loans are about fixed for the terms of the loans, the interest rates are subject to change upon renewal.</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Foreign currency translation and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16"/>
      <w:bookmarkEnd w:id="14"/>
      <w:r>
        <w:rPr>
          <w:rFonts w:ascii="Times New Roman PS Std;serif" w:hAnsi="Times New Roman PS Std;serif"/>
          <w:b/>
          <w:i w:val="false"/>
          <w:caps w:val="false"/>
          <w:smallCaps w:val="false"/>
          <w:sz w:val="20"/>
        </w:rPr>
        <w:t>INDUSTRY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Digital Solutions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 (ii) branding, design and marketing consulting services; (iii) application development and user experience and user interface interfacing; and (iv) IT consulting solution.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Drivers of Digital Solutions in Singapore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Demand for operational efficiency.    </w:t>
      </w:r>
      <w:r>
        <w:rPr>
          <w:rFonts w:ascii="Times New Roman PS Std;serif" w:hAnsi="Times New Roman PS Std;serif"/>
          <w:b w:val="false"/>
          <w:i w:val="false"/>
          <w:caps w:val="false"/>
          <w:smallCaps w:val="false"/>
          <w:sz w:val="20"/>
        </w:rPr>
        <w:t>Particularly for market entrants of e-commerce platforms of 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Robust demand for omnichannel customer experience.    </w:t>
      </w:r>
      <w:r>
        <w:rPr>
          <w:rFonts w:ascii="Times New Roman PS Std;serif" w:hAnsi="Times New Roman PS Std;serif"/>
          <w:b w:val="false"/>
          <w:i w:val="false"/>
          <w:caps w:val="false"/>
          <w:smallCaps w:val="false"/>
          <w:sz w:val="20"/>
        </w:rPr>
        <w:t xml:space="preserve">With thriving numbers of Internet users in 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Government effort in promoting digital economy and society.    </w:t>
      </w:r>
      <w:r>
        <w:rPr>
          <w:rFonts w:ascii="Times New Roman PS Std;serif" w:hAnsi="Times New Roman PS Std;serif"/>
          <w:b w:val="false"/>
          <w:i w:val="false"/>
          <w:caps w:val="false"/>
          <w:smallCaps w:val="false"/>
          <w:sz w:val="20"/>
        </w:rPr>
        <w:t>Singapore government has 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Significant impetus from SMEs.    </w:t>
      </w:r>
      <w:r>
        <w:rPr>
          <w:rFonts w:ascii="Times New Roman PS Std;serif" w:hAnsi="Times New Roman PS Std;serif"/>
          <w:b w:val="false"/>
          <w:i w:val="false"/>
          <w:caps w:val="false"/>
          <w:smallCaps w:val="false"/>
          <w:sz w:val="20"/>
        </w:rPr>
        <w:t>Government support for SME digitalization and skills upgrading 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Rise of Web 3.0 propelling e-commerce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enablement</w:t>
      </w:r>
      <w:r>
        <w:rPr>
          <w:rFonts w:ascii="Times New Roman PS Std;serif" w:hAnsi="Times New Roman PS Std;serif"/>
          <w:b w:val="false"/>
          <w:i w:val="false"/>
          <w:caps w:val="false"/>
          <w:smallCaps w:val="false"/>
          <w:sz w:val="20"/>
        </w:rPr>
        <w:t>.    Web 3.0 primarily focuses on leveraging 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Demand for advancement in IT infrastructure and analytical tools.    </w:t>
      </w:r>
      <w:r>
        <w:rPr>
          <w:rFonts w:ascii="Times New Roman PS Std;serif" w:hAnsi="Times New Roman PS Std;serif"/>
          <w:b w:val="false"/>
          <w:i w:val="false"/>
          <w:caps w:val="false"/>
          <w:smallCaps w:val="false"/>
          <w:sz w:val="20"/>
        </w:rPr>
        <w:t xml:space="preserve">Advancements in IT are 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Competitive Landscape of Digital Solutions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Competitive Landscape of Digital Solutions in SMEs Go Digital Program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program is led by IMDA. Only those digital solutions providers that have been approved by IMDA can participate in the program and provide services to SMEs. Our Company is one of the pre-approved digital solution vendors.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34025" cy="20878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34025" cy="2087880"/>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is the next generation of the World Wide Web which aims to establish an Internet that is smarter, more secure, and decentralized.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Introduction of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will enable a decentralized commerce model where merchants list their products on a decentralized marketplace and customers can access them directly without any intermediaries.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34025" cy="2819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534025" cy="2819400"/>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Drivers of Web 3.0 E-Commerce in Southeast Asia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Improved security, transparency and trust.    </w:t>
      </w:r>
      <w:r>
        <w:rPr>
          <w:rFonts w:ascii="Times New Roman PS Std;serif" w:hAnsi="Times New Roman PS Std;serif"/>
          <w:b w:val="false"/>
          <w:i w:val="false"/>
          <w:caps w:val="false"/>
          <w:smallCaps w:val="false"/>
          <w:sz w:val="20"/>
        </w:rPr>
        <w:t>The key technological advances in Web 3.0, including, 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Enhanced personalized digital experience.    </w:t>
      </w:r>
      <w:r>
        <w:rPr>
          <w:rFonts w:ascii="Times New Roman PS Std;serif" w:hAnsi="Times New Roman PS Std;serif"/>
          <w:b w:val="false"/>
          <w:i w:val="false"/>
          <w:caps w:val="false"/>
          <w:smallCaps w:val="false"/>
          <w:sz w:val="20"/>
        </w:rPr>
        <w:t>Consumers nowadays expect personalized digital 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Variety of user experience.    </w:t>
      </w:r>
      <w:r>
        <w:rPr>
          <w:rFonts w:ascii="Times New Roman PS Std;serif" w:hAnsi="Times New Roman PS Std;serif"/>
          <w:b w:val="false"/>
          <w:i w:val="false"/>
          <w:caps w:val="false"/>
          <w:smallCaps w:val="false"/>
          <w:sz w:val="20"/>
        </w:rPr>
        <w:t>Web 3.0 features advanced technology such as virtual/augmented 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A growing consumer base that embraces technology.    </w:t>
      </w:r>
      <w:r>
        <w:rPr>
          <w:rFonts w:ascii="Times New Roman PS Std;serif" w:hAnsi="Times New Roman PS Std;serif"/>
          <w:b w:val="false"/>
          <w:i w:val="false"/>
          <w:caps w:val="false"/>
          <w:smallCaps w:val="false"/>
          <w:sz w:val="20"/>
        </w:rPr>
        <w:t>With a high Internet penetration rate, a large 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Government endeavor.    </w:t>
      </w:r>
      <w:r>
        <w:rPr>
          <w:rFonts w:ascii="Times New Roman PS Std;serif" w:hAnsi="Times New Roman PS Std;serif"/>
          <w:b w:val="false"/>
          <w:i w:val="false"/>
          <w:caps w:val="false"/>
          <w:smallCaps w:val="false"/>
          <w:sz w:val="20"/>
        </w:rPr>
        <w:t>Governments in Southeast Asia have generally taken a progressive stance 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Cross-border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trade.    </w:t>
      </w:r>
      <w:r>
        <w:rPr>
          <w:rFonts w:ascii="Times New Roman PS Std;serif" w:hAnsi="Times New Roman PS Std;serif"/>
          <w:b w:val="false"/>
          <w:i w:val="false"/>
          <w:caps w:val="false"/>
          <w:smallCaps w:val="false"/>
          <w:sz w:val="20"/>
        </w:rPr>
        <w:t>In 2021, the Southeast Asia countries signed the ASEAN Agreement on 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 Opportunities of Web 3.0 E-Commerce in Southeast Asia and Globally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Nominal GDP in Southeast Asia.    </w:t>
      </w:r>
      <w:r>
        <w:rPr>
          <w:rFonts w:ascii="Times New Roman PS Std;serif" w:hAnsi="Times New Roman PS Std;serif"/>
          <w:b w:val="false"/>
          <w:i w:val="false"/>
          <w:caps w:val="false"/>
          <w:smallCaps w:val="false"/>
          <w:sz w:val="20"/>
        </w:rPr>
        <w:t>According to The International Monetary Fund, the nominal 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Number of Internet users in Southeast Asia.    </w:t>
      </w:r>
      <w:r>
        <w:rPr>
          <w:rFonts w:ascii="Times New Roman PS Std;serif" w:hAnsi="Times New Roman PS Std;serif"/>
          <w:b w:val="false"/>
          <w:i w:val="false"/>
          <w:caps w:val="false"/>
          <w:smallCaps w:val="false"/>
          <w:sz w:val="20"/>
        </w:rPr>
        <w:t>In 2022, the number of Internet users in Southeast 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Market size of e-commerce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 Southeast Asia.    </w:t>
      </w:r>
      <w:r>
        <w:rPr>
          <w:rFonts w:ascii="Times New Roman PS Std;serif" w:hAnsi="Times New Roman PS Std;serif"/>
          <w:b w:val="false"/>
          <w:i w:val="false"/>
          <w:caps w:val="false"/>
          <w:smallCaps w:val="false"/>
          <w:sz w:val="20"/>
        </w:rPr>
        <w:t>The e-commerce industry in the region has grown 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105400" cy="205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105400" cy="205422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size of Web 3.0-enabled e-commerce in Southeast Asia is expected to grow at a CAGR of 100.3% from 2023 to 2027, reaching US$47.0 billion in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457700" cy="247205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457700" cy="247205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Market size of global e-commerce.    </w:t>
      </w:r>
      <w:r>
        <w:rPr>
          <w:rFonts w:ascii="Times New Roman PS Std;serif" w:hAnsi="Times New Roman PS Std;serif"/>
          <w:b w:val="false"/>
          <w:i w:val="false"/>
          <w:caps w:val="false"/>
          <w:smallCaps w:val="false"/>
          <w:sz w:val="20"/>
        </w:rPr>
        <w:t>Rapid urbanization across the globe is one of the key factors 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010150" cy="191706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10150" cy="191706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200525" cy="229806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200525" cy="229806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15"/>
      <w:bookmarkEnd w:id="15"/>
      <w:r>
        <w:rPr>
          <w:rFonts w:ascii="Times New Roman PS Std;serif" w:hAnsi="Times New Roman PS Std;serif"/>
          <w:b/>
          <w:i w:val="false"/>
          <w:caps w:val="false"/>
          <w:smallCaps w:val="false"/>
          <w:sz w:val="20"/>
        </w:rPr>
        <w:t>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Mission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mission is to be the leader in Web 3.0 enablement, bridging business to a trusted and secure e-commerce platform with curated customer experience.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digital transformation enabler in the SME segment of the e-commerce enablement and digital optimizing services market in Singapore. We offer business and technology solutions which are designed to optimize our clients’ experiences with their customers by driving digital adoption and self-service.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Business consulting:    </w:t>
      </w: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IT customization:    </w:t>
      </w:r>
      <w:r>
        <w:rPr>
          <w:rFonts w:ascii="Times New Roman PS Std;serif" w:hAnsi="Times New Roman PS Std;serif"/>
          <w:b w:val="false"/>
          <w:i w:val="false"/>
          <w:caps w:val="false"/>
          <w:smallCaps w:val="false"/>
          <w:sz w:val="2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Strengths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following strengths have contributed to our continued success:</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Leading digital transformation enabler in the SME segment of the e-commerce enablement and digital optimizing services market in Singapore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2014, our founding team pioneered digital transformation for clients in Singapore. In 2021, we were one of the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the e-commerce enablement and digital optimizing services market in Singapore in 2022.</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Proprietary Technology Architecture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Unique Perspective and Efficient Operational Capabilities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these unique perspectives and the efficient operational capabilities can be applied to our developing Web 3.0 e-commerce platform which accelerates merchants and customers’ acquisition and increases their stickiness.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Seasoned and Visionary Management Team with International Perspective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in the SME segment of the e-commerce enablement and digital optimizing services market in Singapore.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further grow our business by pursuing the following strategies: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Capitalize on a Generational Shift to Web 3.0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operates Tridentity, a Web 3.0 e-commerce platform whereby customers and merchants can transact in a transparent and secure way, launched in the fourth quarter of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 and Grow our Client Base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grow our existing clients by adding product features and additional functionality to our solutions and continuing to drive digital adoption of our existing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Broaden our Geographical Reach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Selectively Pursue Strategic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 in Southeast Asia and globally, although our management has not yet determined the types of businesses that we will target at this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Business Consulting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approach, with an eye on execution, combines creative thinking and industry expertise to enable companies to achieve market-leading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market intelligence to our clients by identifying the objectives and audience, formulating customized digital marketing strategies in order to magnify their brand positioning and enhance operational efficiency.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data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Visual identity elements design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Strategic planning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Digital marketing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IT Customization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Consulting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IT consulting services include a full range of consulting and technical services relating to the software solutions, from the early design and planning stages of an implementation to end-user training and after-implementation consulting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analysis and evaluation of client’s business requirements, especially with regard to the size and complexity of the projects to be supported, as well as the client’s customized needs;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identification of the key problems and challenges of the current business operation and workflow;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 of a proposed software solution based on client’s requirements;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customization of the system features to fulfill our client’s business by revamping and integrating different information technology systems and operational systems;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administration of the project’s lifecycle by certified professionals;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fine-tuned adjustment and customization of software solutions to meet the client’s business needs such as project plan or solution proposal, etc.;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 of an implementation strategy that assesses operational impacts and improves ease of learning about the new computerized operations;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operational assistance with face-to-face or online professional training and reinforcement.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Management Software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a range of management software solutions to customers via annual subscriptions, including client relationship management solutions, inventory management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Web 3.0 E-Commerce Platform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fourth quarter of 2023, we launched Tridentity, a Web 3.0 e-commerce platform whereby customers and merchants can transact in a transparent and secure way.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 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Clients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diversified client base spanning a range of industry verticals, including e-commerce, food and beverage, fintech, healthcare and service, wholesale and retail. As of June 30, 2023, we served over 200 clients across our core verticals such as food and beverage, wholesale and retail, all of whom utilize our services and talent to help them evolve the digital capabilities within their organizations.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Technology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solutions are designed from the ground up for speed-to-market, scalability, security, durability, and reliability. The foundational technology that enables these benefits includes: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Maintenance and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and Marketing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Proven track record and reputation in the industry;</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Service customization;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innovation, quality, functionality and design;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Solid partnerships with upstream and downstream partners;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Deep vertical domain experience;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strong commitment to security and privacy.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headquartered in Singapore where we lease three corporate offices under leases of which two expire in 2024 and one expires in 2025. We also lease one corporate office under lease in Vietnam which expires in 2025. We believe our facilities are adequate and suitable for our current needs, and that should it be needed, suitable additional or alternative space will be available to accommodate our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Protecting our intellectual property rights is important to our business. We plan to invest in research and development to enhance our domain knowledge and create complex, specialized solutions for our clients. As of June 30, 2023, we have registered one trademark “TRIDENTITY” (trademark number 40202251004W) in Singapore under Classes 09, 35, 38, 42 and 45 under the International Classification of Goods and Services.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registered and maintained the domain names “Qzonetech.com” and “Tridentity.me” for our business operations to ensure that we maintain the ability to engage with our clients, employees, and the public.</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2023, we had a total of 33 full-time employees. We are highly dependent on our management, highly-skilled software engineers, sales and marketing personnel, and other professionals, and it is crucial that we continue to attract and retain valuable employees.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provide work injury compensation insurance for our employees as required by applicable law and in line with general market practice.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14"/>
      <w:bookmarkEnd w:id="16"/>
      <w:r>
        <w:rPr>
          <w:rFonts w:ascii="Times New Roman PS Std;serif" w:hAnsi="Times New Roman PS Std;serif"/>
          <w:b/>
          <w:i w:val="false"/>
          <w:caps w:val="false"/>
          <w:smallCaps w:val="false"/>
          <w:sz w:val="20"/>
        </w:rPr>
        <w:t>REGULATION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Regulations in Singapore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Data Protection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Personal Data Protection Act 2012 of Singapore (the “</w:t>
      </w:r>
      <w:r>
        <w:rPr>
          <w:rFonts w:ascii="Times New Roman PS Std;serif" w:hAnsi="Times New Roman PS Std;serif"/>
          <w:b/>
          <w:i w:val="false"/>
          <w:caps w:val="false"/>
          <w:smallCaps w:val="false"/>
          <w:sz w:val="20"/>
        </w:rPr>
        <w:t>PDPA</w:t>
      </w:r>
      <w:r>
        <w:rPr>
          <w:rFonts w:ascii="Times New Roman PS Std;serif" w:hAnsi="Times New Roman PS Std;serif"/>
          <w:b w:val="false"/>
          <w:i w:val="false"/>
          <w:caps w:val="false"/>
          <w:smallCaps w:val="false"/>
          <w:sz w:val="20"/>
        </w:rPr>
        <w:t>”) establishes the Singapore regime for the protection of personal data in Singapore, and governs the collection, use and disclosure of personal data by organizations. In this regard, “personal data” as defined under the PDPA refers to data, whether true or not, about an individual who can be identified (a) from that data or (b) from that data and other information to which the organization has or is likely to have access.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organization is required to comply with, amongst other things, the following obligations prescribed by the PDPA: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caps w:val="false"/>
          <w:smallCaps w:val="false"/>
          <w:sz w:val="20"/>
        </w:rPr>
        <w:t>Purpose limitation obligation </w:t>
      </w:r>
      <w:r>
        <w:rPr>
          <w:rFonts w:ascii="Times New Roman PS Std;serif" w:hAnsi="Times New Roman PS Std;serif"/>
          <w:b w:val="false"/>
          <w:i w:val="false"/>
          <w:caps w:val="false"/>
          <w:smallCaps w:val="false"/>
          <w:sz w:val="20"/>
        </w:rPr>
        <w:t>— personal data must be collected, used, disclosed and/or processed only for purposes that a reasonable person would consider appropriate in the circumstances, and if applicable, have been notified to the individual concerned;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caps w:val="false"/>
          <w:smallCaps w:val="false"/>
          <w:sz w:val="20"/>
        </w:rPr>
        <w:t>Notification obligation </w:t>
      </w:r>
      <w:r>
        <w:rPr>
          <w:rFonts w:ascii="Times New Roman PS Std;serif" w:hAnsi="Times New Roman PS Std;serif"/>
          <w:b w:val="false"/>
          <w:i w:val="false"/>
          <w:caps w:val="false"/>
          <w:smallCaps w:val="false"/>
          <w:sz w:val="20"/>
        </w:rPr>
        <w:t>— individuals must be notified of the purposes for the collection, use, disclosure and/or processing of their personal data, prior to such collection, use, disclosure and/or processing;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caps w:val="false"/>
          <w:smallCaps w:val="false"/>
          <w:sz w:val="20"/>
        </w:rPr>
        <w:t>Consent obligation </w:t>
      </w:r>
      <w:r>
        <w:rPr>
          <w:rFonts w:ascii="Times New Roman PS Std;serif" w:hAnsi="Times New Roman PS Std;serif"/>
          <w:b w:val="false"/>
          <w:i w:val="false"/>
          <w:caps w:val="false"/>
          <w:smallCaps w:val="false"/>
          <w:sz w:val="20"/>
        </w:rPr>
        <w:t>— the consent of individuals must be obtained for any collection, use, disclosure and/or processing of their personal data, unless exception(s) apply. Additionally, an organization must allow the withdrawal of consent which has been given or is deemed to have been given;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w:t>
      </w:r>
      <w:r>
        <w:rPr>
          <w:rFonts w:ascii="Times New Roman PS Std;serif" w:hAnsi="Times New Roman PS Std;serif"/>
          <w:b w:val="false"/>
          <w:i/>
          <w:caps w:val="false"/>
          <w:smallCaps w:val="false"/>
          <w:sz w:val="20"/>
        </w:rPr>
        <w:t>Access and correction obligations </w:t>
      </w:r>
      <w:r>
        <w:rPr>
          <w:rFonts w:ascii="Times New Roman PS Std;serif" w:hAnsi="Times New Roman PS Std;serif"/>
          <w:b w:val="false"/>
          <w:i w:val="false"/>
          <w:caps w:val="false"/>
          <w:smallCaps w:val="false"/>
          <w:sz w:val="20"/>
        </w:rPr>
        <w:t>— when requested by an individual and unless exception(s) apply, an organization must: (a) provide that individual with access to his personal data in the possession or under the control of the organization and information about the ways in which his personal data may have been used, disclosed and/or processed during the past year, and/or (b) correct an error or omission in his personal data that is in the possession or under the control of the organization;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w:t>
      </w:r>
      <w:r>
        <w:rPr>
          <w:rFonts w:ascii="Times New Roman PS Std;serif" w:hAnsi="Times New Roman PS Std;serif"/>
          <w:b w:val="false"/>
          <w:i/>
          <w:caps w:val="false"/>
          <w:smallCaps w:val="false"/>
          <w:sz w:val="20"/>
        </w:rPr>
        <w:t>Accuracy obligation </w:t>
      </w:r>
      <w:r>
        <w:rPr>
          <w:rFonts w:ascii="Times New Roman PS Std;serif" w:hAnsi="Times New Roman PS Std;serif"/>
          <w:b w:val="false"/>
          <w:i w:val="false"/>
          <w:caps w:val="false"/>
          <w:smallCaps w:val="false"/>
          <w:sz w:val="20"/>
        </w:rPr>
        <w:t>— an organization must make reasonable efforts to ensure that personal data collected by or on its behalf is accurate and complete if such data is likely to be used by the organization to make a decision affecting the individual to whom the personal data relates or if such data is likely to be disclosed to another organization;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w:t>
      </w:r>
      <w:r>
        <w:rPr>
          <w:rFonts w:ascii="Times New Roman PS Std;serif" w:hAnsi="Times New Roman PS Std;serif"/>
          <w:b w:val="false"/>
          <w:i/>
          <w:caps w:val="false"/>
          <w:smallCaps w:val="false"/>
          <w:sz w:val="20"/>
        </w:rPr>
        <w:t>Protection obligation </w:t>
      </w:r>
      <w:r>
        <w:rPr>
          <w:rFonts w:ascii="Times New Roman PS Std;serif" w:hAnsi="Times New Roman PS Std;serif"/>
          <w:b w:val="false"/>
          <w:i w:val="false"/>
          <w:caps w:val="false"/>
          <w:smallCaps w:val="false"/>
          <w:sz w:val="20"/>
        </w:rPr>
        <w:t>— an organization must implement reasonable security arrangements for the protection of personal data in its possession or under its control from (a) unauthorized access, collection, use, disclosure, copying, modification, disposal or similar risks, and (b) the loss of any storage medium or device on which personal data is stored;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w:t>
      </w:r>
      <w:r>
        <w:rPr>
          <w:rFonts w:ascii="Times New Roman PS Std;serif" w:hAnsi="Times New Roman PS Std;serif"/>
          <w:b w:val="false"/>
          <w:i/>
          <w:caps w:val="false"/>
          <w:smallCaps w:val="false"/>
          <w:sz w:val="20"/>
        </w:rPr>
        <w:t>Retention limitation obligation </w:t>
      </w:r>
      <w:r>
        <w:rPr>
          <w:rFonts w:ascii="Times New Roman PS Std;serif" w:hAnsi="Times New Roman PS Std;serif"/>
          <w:b w:val="false"/>
          <w:i w:val="false"/>
          <w:caps w:val="false"/>
          <w:smallCaps w:val="false"/>
          <w:sz w:val="20"/>
        </w:rPr>
        <w:t>— an organization must not keep personal data for longer than it is necessary to fulfil (a) the purposes for which it was collected, or (b) a legal or business purpose;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w:t>
      </w:r>
      <w:r>
        <w:rPr>
          <w:rFonts w:ascii="Times New Roman PS Std;serif" w:hAnsi="Times New Roman PS Std;serif"/>
          <w:b w:val="false"/>
          <w:i/>
          <w:caps w:val="false"/>
          <w:smallCaps w:val="false"/>
          <w:sz w:val="20"/>
        </w:rPr>
        <w:t>Transfer limitation obligation </w:t>
      </w:r>
      <w:r>
        <w:rPr>
          <w:rFonts w:ascii="Times New Roman PS Std;serif" w:hAnsi="Times New Roman PS Std;serif"/>
          <w:b w:val="false"/>
          <w:i w:val="false"/>
          <w:caps w:val="false"/>
          <w:smallCaps w:val="false"/>
          <w:sz w:val="20"/>
        </w:rPr>
        <w:t>— personal data must not be transferred out of Singapore except in accordance with the requirements prescribed under the PDPA;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w:t>
      </w:r>
      <w:r>
        <w:rPr>
          <w:rFonts w:ascii="Times New Roman PS Std;serif" w:hAnsi="Times New Roman PS Std;serif"/>
          <w:b w:val="false"/>
          <w:i/>
          <w:caps w:val="false"/>
          <w:smallCaps w:val="false"/>
          <w:sz w:val="20"/>
        </w:rPr>
        <w:t>Accountability obligation </w:t>
      </w:r>
      <w:r>
        <w:rPr>
          <w:rFonts w:ascii="Times New Roman PS Std;serif" w:hAnsi="Times New Roman PS Std;serif"/>
          <w:b w:val="false"/>
          <w:i w:val="false"/>
          <w:caps w:val="false"/>
          <w:smallCaps w:val="false"/>
          <w:sz w:val="20"/>
        </w:rPr>
        <w:t xml:space="preserve">— an organization must implement the necessary policies and procedures in order to meet the obligations under the PDPA, communicate and inform its staff about these policies and procedures, and shall make information about its policies and procedures available on request.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an organization must develop a process to receive and respond to data-related complaints, and must designate at least one individual as the data protection officer to oversee the organization’s compliance with the PDPA;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w:t>
      </w:r>
      <w:r>
        <w:rPr>
          <w:rFonts w:ascii="Times New Roman PS Std;serif" w:hAnsi="Times New Roman PS Std;serif"/>
          <w:b w:val="false"/>
          <w:i/>
          <w:caps w:val="false"/>
          <w:smallCaps w:val="false"/>
          <w:sz w:val="20"/>
        </w:rPr>
        <w:t>Data breach notification obligation</w:t>
      </w:r>
      <w:r>
        <w:rPr>
          <w:rFonts w:ascii="Times New Roman PS Std;serif" w:hAnsi="Times New Roman PS Std;serif"/>
          <w:b w:val="false"/>
          <w:i w:val="false"/>
          <w:caps w:val="false"/>
          <w:smallCaps w:val="false"/>
          <w:sz w:val="20"/>
        </w:rPr>
        <w:t> — an organization must notify the Singapore Personal Data Protection Commission (“</w:t>
      </w:r>
      <w:r>
        <w:rPr>
          <w:rFonts w:ascii="Times New Roman PS Std;serif" w:hAnsi="Times New Roman PS Std;serif"/>
          <w:b/>
          <w:i w:val="false"/>
          <w:caps w:val="false"/>
          <w:smallCaps w:val="false"/>
          <w:sz w:val="20"/>
        </w:rPr>
        <w:t>PDPC</w:t>
      </w:r>
      <w:r>
        <w:rPr>
          <w:rFonts w:ascii="Times New Roman PS Std;serif" w:hAnsi="Times New Roman PS Std;serif"/>
          <w:b w:val="false"/>
          <w:i w:val="false"/>
          <w:caps w:val="false"/>
          <w:smallCaps w:val="false"/>
          <w:sz w:val="20"/>
        </w:rPr>
        <w:t>”) and/or the affected individuals if it has suffered a data breach that meets the notification thresholds prescribed under the PDPA (i.e. the data breach is or is likely to be of significant scale, or has caused or is likely to cause significant harm to the affected individuals). The organization is expected to expeditiously assess the severity of the breach, and the timeline to notify the PDPC is 3 calendar days of the organization assessing that a notification threshold has been met;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w:t>
      </w:r>
      <w:r>
        <w:rPr>
          <w:rFonts w:ascii="Times New Roman PS Std;serif" w:hAnsi="Times New Roman PS Std;serif"/>
          <w:b w:val="false"/>
          <w:i/>
          <w:caps w:val="false"/>
          <w:smallCaps w:val="false"/>
          <w:sz w:val="20"/>
        </w:rPr>
        <w:t>Data portability obligation</w:t>
      </w:r>
      <w:r>
        <w:rPr>
          <w:rFonts w:ascii="Times New Roman PS Std;serif" w:hAnsi="Times New Roman PS Std;serif"/>
          <w:b w:val="false"/>
          <w:i w:val="false"/>
          <w:caps w:val="false"/>
          <w:smallCaps w:val="false"/>
          <w:sz w:val="20"/>
        </w:rPr>
        <w:t> — the data portability obligation (which is not yet in force as at the date of this prospectus) grants individuals with an existing direct relationship with an organization the right to request for a copy of their personal data to be transmitted in a commonly used machine-readable format to another organization which has a business presence in Singapore. The exact scope and applicability of this right will be delineated by the relevant regulations and guidelines to be published by the PDPC.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general data protection obligations imposed under the PDPA, the PDPA also generally prohibits organizations and individuals from sending direct marketing messages (in the form of voice calls, text or fax messages) to Singapore telephone numbers, including mobile, fixed-line, residential and business numbers, registered with the Do Not Call Registry (the “</w:t>
      </w:r>
      <w:r>
        <w:rPr>
          <w:rFonts w:ascii="Times New Roman PS Std;serif" w:hAnsi="Times New Roman PS Std;serif"/>
          <w:b/>
          <w:i w:val="false"/>
          <w:caps w:val="false"/>
          <w:smallCaps w:val="false"/>
          <w:sz w:val="20"/>
        </w:rPr>
        <w:t>DNC Registry</w:t>
      </w:r>
      <w:r>
        <w:rPr>
          <w:rFonts w:ascii="Times New Roman PS Std;serif" w:hAnsi="Times New Roman PS Std;serif"/>
          <w:b w:val="false"/>
          <w:i w:val="false"/>
          <w:caps w:val="false"/>
          <w:smallCaps w:val="false"/>
          <w:sz w:val="20"/>
        </w:rPr>
        <w:t>”), as maintained by the PDPC (the “</w:t>
      </w:r>
      <w:r>
        <w:rPr>
          <w:rFonts w:ascii="Times New Roman PS Std;serif" w:hAnsi="Times New Roman PS Std;serif"/>
          <w:b/>
          <w:i w:val="false"/>
          <w:caps w:val="false"/>
          <w:smallCaps w:val="false"/>
          <w:sz w:val="20"/>
        </w:rPr>
        <w:t>DNC Obligations</w:t>
      </w:r>
      <w:r>
        <w:rPr>
          <w:rFonts w:ascii="Times New Roman PS Std;serif" w:hAnsi="Times New Roman PS Std;serif"/>
          <w:b w:val="false"/>
          <w:i w:val="false"/>
          <w:caps w:val="false"/>
          <w:smallCaps w:val="false"/>
          <w:sz w:val="20"/>
        </w:rPr>
        <w:t>”). The DNC Obligations only apply to the sending of “specified messages” as defined in the PDPA, which are marketing messages that offer, promote or advertise goods or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DNC Obligations, before an organization sends any specified messages to a Singapore telephone number, it must first check whether that Singapore telephone number is listed in the DNC Registry. A failure to check the relevant register is an offense under the PDPA, unless certain exceptions apply.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Labor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Employment Act 1968 of Singapore (the “</w:t>
      </w:r>
      <w:r>
        <w:rPr>
          <w:rFonts w:ascii="Times New Roman PS Std;serif" w:hAnsi="Times New Roman PS Std;serif"/>
          <w:b/>
          <w:i w:val="false"/>
          <w:caps w:val="false"/>
          <w:smallCaps w:val="false"/>
          <w:sz w:val="20"/>
        </w:rPr>
        <w:t>Employment Act</w:t>
      </w:r>
      <w:r>
        <w:rPr>
          <w:rFonts w:ascii="Times New Roman PS Std;serif" w:hAnsi="Times New Roman PS Std;serif"/>
          <w:b w:val="false"/>
          <w:i w:val="false"/>
          <w:caps w:val="false"/>
          <w:smallCaps w:val="false"/>
          <w:sz w:val="20"/>
        </w:rPr>
        <w:t>”) generally extends to all employees, with the exception of certain groups of employees. It provides employees falling within its ambit protections such as minimum notice periods, maximum amount of deductions from wages, minimum holidays, maternity/paternity leave, paid childcare leave, sick leave and etc, and for (a) workmen (as defined in the Employment Act) who receive monthly basic salaries not exceeding S$4,500 and (b) employees (other than workmen or persons employed in a managerial or executive position) who receive monthly basic salaries not exceeding S$2,600, additional protections such as rest days, hours of work and other conditions of service. The Employment Act also applies to employees who are foreigners so long as they fall within the definition of “employee” under the Employment Act. In addition, the employment of foreign manpower in Singapore is also governed by the Employment of Foreign Manpower Act 1990 of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Aside from minimum benefits in respect of the aforesaid terms of employment in the Employment Act, employees in Singapore are entitled to contributions to the central provident fund by the employer as prescribed under the Central Provident Fund Act 1953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COVID-19</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COVID-19 (Temporary Measures) Act 2020 (No. 14 of 2020) of Singapore (“</w:t>
      </w:r>
      <w:r>
        <w:rPr>
          <w:rFonts w:ascii="Times New Roman PS Std;serif" w:hAnsi="Times New Roman PS Std;serif"/>
          <w:b/>
          <w:i w:val="false"/>
          <w:caps w:val="false"/>
          <w:smallCaps w:val="false"/>
          <w:sz w:val="20"/>
        </w:rPr>
        <w:t>COVID-19</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Act</w:t>
      </w:r>
      <w:r>
        <w:rPr>
          <w:rFonts w:ascii="Times New Roman PS Std;serif" w:hAnsi="Times New Roman PS Std;serif"/>
          <w:b w:val="false"/>
          <w:i w:val="false"/>
          <w:caps w:val="false"/>
          <w:smallCaps w:val="false"/>
          <w:sz w:val="20"/>
        </w:rPr>
        <w:t>”) came into effect in Singapore on April 7, 2020. Under the COVID-19 Act, the Minister of Health may make regulations and make control orders for the purpose of preventing, protecting against, delaying or otherwise controlling the incidence or transmission of COVID-19 in Singapore. Control orders may make provisions including among others the following: (i) requiring people or certain people to stay at or in, and not leave, a specified place (whether or not a place of accommodation); (ii) restricting movement of or contact between people, including prohibiting or limiting group activities or other activities of people within the specified place in paragraph (i), restricting the use of any facilities at that place and limiting movement to and from that place, whether by time or location; (iii) requiring closing or limiting access to any premises or facility at a specified time, in a specified manner or to a specified extent, in relation to any premises or facility used to carry out any business, undertaking or work; (iv) restricting the time, manner or extent for the carrying out of any business, undertaking or work, including prescribing restrictions on the maximum number of people, opening hours or facilities provided, for the carrying on of the business, undertaking or work.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13"/>
      <w:bookmarkEnd w:id="17"/>
      <w:r>
        <w:rPr>
          <w:rFonts w:ascii="Times New Roman PS Std;serif" w:hAnsi="Times New Roman PS Std;serif"/>
          <w:b/>
          <w:i w:val="false"/>
          <w:caps w:val="false"/>
          <w:smallCaps w:val="false"/>
          <w:sz w:val="20"/>
        </w:rPr>
        <w:t>MANAGEMENT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our directors and executive officers as of the date of this prospectus.</w:t>
      </w:r>
    </w:p>
    <w:tbl>
      <w:tblPr>
        <w:tblW w:w="8950" w:type="dxa"/>
        <w:jc w:val="left"/>
        <w:tblInd w:w="0" w:type="dxa"/>
        <w:tblLayout w:type="fixed"/>
        <w:tblCellMar>
          <w:top w:w="0" w:type="dxa"/>
          <w:left w:w="0" w:type="dxa"/>
          <w:bottom w:w="0" w:type="dxa"/>
          <w:right w:w="0" w:type="dxa"/>
        </w:tblCellMar>
      </w:tblPr>
      <w:tblGrid>
        <w:gridCol w:w="3436"/>
        <w:gridCol w:w="146"/>
        <w:gridCol w:w="496"/>
        <w:gridCol w:w="146"/>
        <w:gridCol w:w="4726"/>
      </w:tblGrid>
      <w:tr>
        <w:trPr/>
        <w:tc>
          <w:tcPr>
            <w:tcW w:w="3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47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Position/Title</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shd w:fill="CCEEFF" w:val="clear"/>
            <w:vAlign w:val="bottom"/>
          </w:tcPr>
          <w:p>
            <w:pPr>
              <w:pStyle w:val="TableContents"/>
              <w:bidi w:val="0"/>
              <w:spacing w:before="0" w:after="283"/>
              <w:jc w:val="left"/>
              <w:rPr/>
            </w:pPr>
            <w:r>
              <w:rPr/>
              <w:t> </w:t>
            </w:r>
          </w:p>
        </w:tc>
        <w:tc>
          <w:tcPr>
            <w:tcW w:w="4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Chairman and Chief Executive Officer</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Haiyan Huang</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vAlign w:val="bottom"/>
          </w:tcPr>
          <w:p>
            <w:pPr>
              <w:pStyle w:val="TableContents"/>
              <w:bidi w:val="0"/>
              <w:spacing w:before="0" w:after="283"/>
              <w:jc w:val="left"/>
              <w:rPr/>
            </w:pPr>
            <w:r>
              <w:rPr/>
              <w:t> </w:t>
            </w:r>
          </w:p>
        </w:tc>
        <w:tc>
          <w:tcPr>
            <w:tcW w:w="4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shd w:fill="CCEEFF" w:val="clear"/>
            <w:vAlign w:val="bottom"/>
          </w:tcPr>
          <w:p>
            <w:pPr>
              <w:pStyle w:val="TableContents"/>
              <w:bidi w:val="0"/>
              <w:spacing w:before="0" w:after="283"/>
              <w:jc w:val="left"/>
              <w:rPr/>
            </w:pPr>
            <w:r>
              <w:rPr/>
              <w:t> </w:t>
            </w:r>
          </w:p>
        </w:tc>
        <w:tc>
          <w:tcPr>
            <w:tcW w:w="4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 and Director nominee</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 Teck Lim*</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vAlign w:val="bottom"/>
          </w:tcPr>
          <w:p>
            <w:pPr>
              <w:pStyle w:val="TableContents"/>
              <w:bidi w:val="0"/>
              <w:spacing w:before="0" w:after="283"/>
              <w:jc w:val="left"/>
              <w:rPr/>
            </w:pPr>
            <w:r>
              <w:rPr/>
              <w:t> </w:t>
            </w:r>
          </w:p>
        </w:tc>
        <w:tc>
          <w:tcPr>
            <w:tcW w:w="4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 nominee</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Noi Keng Koh*</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bottom"/>
          </w:tcPr>
          <w:p>
            <w:pPr>
              <w:pStyle w:val="TableContents"/>
              <w:bidi w:val="0"/>
              <w:spacing w:before="0" w:after="283"/>
              <w:jc w:val="left"/>
              <w:rPr/>
            </w:pPr>
            <w:r>
              <w:rPr/>
              <w:t> </w:t>
            </w:r>
          </w:p>
        </w:tc>
        <w:tc>
          <w:tcPr>
            <w:tcW w:w="4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 nominee</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Chwee Koh Chua*</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vAlign w:val="bottom"/>
          </w:tcPr>
          <w:p>
            <w:pPr>
              <w:pStyle w:val="TableContents"/>
              <w:bidi w:val="0"/>
              <w:spacing w:before="0" w:after="283"/>
              <w:jc w:val="left"/>
              <w:rPr/>
            </w:pPr>
            <w:r>
              <w:rPr/>
              <w:t> </w:t>
            </w:r>
          </w:p>
        </w:tc>
        <w:tc>
          <w:tcPr>
            <w:tcW w:w="4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 nominee</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individual has accepted our appointment to be a director of our company, effective upon the SEC’s declaration of effectiveness of our registration statement on Form F-1, of which this prospectus is a part.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 Soon Huat Lim</w:t>
      </w:r>
      <w:r>
        <w:rPr>
          <w:rFonts w:ascii="Times New Roman PS Std;serif" w:hAnsi="Times New Roman PS Std;serif"/>
          <w:b w:val="false"/>
          <w:i w:val="false"/>
          <w:caps w:val="false"/>
          <w:smallCaps w:val="false"/>
          <w:sz w:val="20"/>
        </w:rPr>
        <w:t xml:space="preserve"> is our founder, and has served as the chairman of the board of directors and chief 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Ms. Haiyan Huang</w:t>
      </w:r>
      <w:r>
        <w:rPr>
          <w:rFonts w:ascii="Times New Roman PS Std;serif" w:hAnsi="Times New Roman PS Std;serif"/>
          <w:b w:val="false"/>
          <w:i w:val="false"/>
          <w:caps w:val="false"/>
          <w:smallCaps w:val="false"/>
          <w:sz w:val="20"/>
        </w:rPr>
        <w:t xml:space="preserve"> has served as our chief financial officer since the Company’s inception. Ms. Huang has more than 20 years of experience in the financial sector. From June 2018 to October 2021, Ms. Huang first served as the chief financial officer of Zengame Technology Holding Limited (HKSE: 2660), an established mobile game developer and operator in the People’s Republic of China with special focus on card and board and other casual mobile games, and then as its consultant until May 2022.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 Poh Kiong Tan</w:t>
      </w:r>
      <w:r>
        <w:rPr>
          <w:rFonts w:ascii="Times New Roman PS Std;serif" w:hAnsi="Times New Roman PS Std;serif"/>
          <w:b w:val="false"/>
          <w:i w:val="false"/>
          <w:caps w:val="false"/>
          <w:smallCaps w:val="false"/>
          <w:sz w:val="20"/>
        </w:rPr>
        <w:t xml:space="preserve"> has served as our chief technology officer since the Company’s inception and is a director nominee.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How Teck Lim</w:t>
      </w:r>
      <w:r>
        <w:rPr>
          <w:rFonts w:ascii="Times New Roman PS Std;serif" w:hAnsi="Times New Roman PS Std;serif"/>
          <w:b w:val="false"/>
          <w:i w:val="false"/>
          <w:caps w:val="false"/>
          <w:smallCaps w:val="false"/>
          <w:sz w:val="20"/>
        </w:rPr>
        <w:t xml:space="preserve"> is an independent director nominee. Mr. Lim has extensive board, financial management, mergers and acquisitions, and operating experience. Mr. Lim is currently an independent non-executive director and the chairman of audit committee of Raffles Education Limited (SGX: NR7), an independent director of Aetherium Acquisition Corp (NASDAQ: GMFI, GMFIU, GMFIW) and the chairman of Redwood International Pte. Ltd. (an investment and consultancy company). Mr. Lim has also acted as the chairman of Heliconia Capital Management Pte. Ltd., a Temasek Holdings wholly-owned private equity investment firm that invests in growth-oriented companies in Asia (2011 – 2022) and NauticAwt Limited (SGX:42D)(2015 – 2019), and the director of a number of listed and private companies. Mr. Lim has in-depth knowledge of the shipping industry, having been with the Neptune Orient Lines Group (“NOL”) from 1979 to 2005, where he held various positions from Executive Director, Group CFO, Group COO, and Group Deputy CEO. Mr. Lim is a Fellow of the Chartered Institute of Management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Accountants of UK (FCMA), a Fellow of the Certified Public Accountants of Australia (FCPA Aust), a Fellow of the Institute of Certified Public Accountants of Singapore (FCPA ICPAS), and a Fellow of the Singapore Institute of Directors (FSID). Mr. Lim received his bachelor’s degree in accountancy from the University of Singapore in 1975.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Dr. Noi Keng Koh</w:t>
      </w:r>
      <w:r>
        <w:rPr>
          <w:rFonts w:ascii="Times New Roman PS Std;serif" w:hAnsi="Times New Roman PS Std;serif"/>
          <w:b w:val="false"/>
          <w:i w:val="false"/>
          <w:caps w:val="false"/>
          <w:smallCaps w:val="false"/>
          <w:sz w:val="20"/>
        </w:rPr>
        <w:t xml:space="preserve"> is an independent director nominee. Dr. Koh has extensive experience in financial education. Dr. Koh is the founder and CEO of Fintech Academy in Singapore, which spearheads talent development programs and certifications for fintech, in collaboration with universities. Dr. Koh has acted as an independent director of MC Payment Limited, a former Singapore-listed company. Dr. Koh has also acted as the chair of the Centre for Financial Literacy at the National Institute Education, Nanyang Technological University for a decade. Dr. Koh received her bachelor’s degree in business administration from the National University of Singapore in 1982, and her PhD degree in learning environment from Curtin University of Technology in 2008.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Chwee Koh Chua</w:t>
      </w:r>
      <w:r>
        <w:rPr>
          <w:rFonts w:ascii="Times New Roman PS Std;serif" w:hAnsi="Times New Roman PS Std;serif"/>
          <w:b w:val="false"/>
          <w:i w:val="false"/>
          <w:caps w:val="false"/>
          <w:smallCaps w:val="false"/>
          <w:sz w:val="20"/>
        </w:rPr>
        <w:t xml:space="preserve"> is an independent director nominee. Mr. Chua brings with him a wealth of experience in operating business and in the security business. Mr. Chua is currently an independent non-executive director of Raffles Education Limited (SGX: NR7) and Addvalue Technologies Limited (SGX:A31). Mr. Chua is also a member of audit committee of Dementia Singapore (a charity), and a council member at the RHT G.R.A.C.E. Institute (a social enterprise that promotes ethical leadership). Since joining Certis CISCO Security Pte Ltd (“Certis”) in 2004, Mr. Chua has served as the chief operating officer from 2004 to 2018 and played a key role in integrating operations and technology in the security business, and further served as the Chief of Group Technology and Operations at Certis from May 2018 to July 2021, leading its digital transformation. Prior to joining Certis, Mr. Chua served 22 years in the Singapore Armed Forces and retired with the rank of Brigadier General. Mr. Chua received his bachelor’s degree in mechanical engineering and economics with first class honors from University of Birmingham in the United Kingdom in 1985, and his master’s degree in public administration from Harvard University in 1998.</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will consist of five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Committees of the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Audit Committee.    </w:t>
      </w:r>
      <w:r>
        <w:rPr>
          <w:rFonts w:ascii="Times New Roman PS Std;serif" w:hAnsi="Times New Roman PS Std;serif"/>
          <w:b w:val="false"/>
          <w:i w:val="false"/>
          <w:caps w:val="false"/>
          <w:smallCaps w:val="false"/>
          <w:sz w:val="20"/>
        </w:rPr>
        <w:t>Our audit committee will initially consist of three directors, namely How Teck Lim, Noi Keng Koh and Chwee Koh Chua. How Teck Lim will be the chairman of our audit committee. Each of those three directors satisfies the “independence” requirements under Rule 5605(c)(2) of the Listing Rules of the Nasdaq Stock Market meets the independence standards under Rule 10A-3 under the Exchange Act. We have determined that How Teck Lim qualifies as an “audit committee financial expert.” The audit committee oversees our accounting and financial reporting processes and the audits of the financial statements of our company. The audit committee is responsible for,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and appointing the independent auditors and pre-approving all auditing and non-auditing services permitted to be performed by such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the independent auditors any audit problems or difficulties and management’s response;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all proposed related party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the annual audited financial statements with management and the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our accounting and internal control policies and procedures and any steps taken to monitor and control major financial risk exposures;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meeting separately and periodically with management and our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reporting regularly to the full board of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compliance with our code of business conduct and ethics, including reviewing the adequacy and effectiveness of our procedures to ensure proper compliance;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matters that are specifically assigned to our audit committee by our board of directors from time to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Compensation Committee.    </w:t>
      </w:r>
      <w:r>
        <w:rPr>
          <w:rFonts w:ascii="Times New Roman PS Std;serif" w:hAnsi="Times New Roman PS Std;serif"/>
          <w:b w:val="false"/>
          <w:i w:val="false"/>
          <w:caps w:val="false"/>
          <w:smallCaps w:val="false"/>
          <w:sz w:val="20"/>
        </w:rPr>
        <w:t>Our compensation committee will initially consist of three members, namely Noi Keng Koh, How Teck Lim and Chwee Koh Chua. Noi Keng Koh will be the chairwoman of our compensation committee. Each of those three directors satisfies the “independence” requirements of Rule 5605(a)(2) of the Listing Rules of the Nasdaq Stock Market.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to the board with respect to the compensation for our chief executive officer and other executive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and overseeing the total compensation package for our executives other than the most senior executive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to the board with respect to the compensation of our non-employee directors;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periodically and approving any long-term incentive compensation or equity plans, programs or arrangements of similar nature such as annual bonuses, employee pension and welfare benefit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Nominating and corporate governance committee.    </w:t>
      </w:r>
      <w:r>
        <w:rPr>
          <w:rFonts w:ascii="Times New Roman PS Std;serif" w:hAnsi="Times New Roman PS Std;serif"/>
          <w:b w:val="false"/>
          <w:i w:val="false"/>
          <w:caps w:val="false"/>
          <w:smallCaps w:val="false"/>
          <w:sz w:val="20"/>
        </w:rPr>
        <w:t>Our nominating and corporate governance committee will initially consist of three directors, namely, Chwee Koh Chua, How Teck Lim and Noi Keng Koh. Chwee Koh Chua will be the chairman of our nominating and corporate governance committee. Each of those three directors satisfies the “independence” requirements under Rule 5605(a)(2) of the Listing Rules of the Nasdaq Stock Market and meets the independence standards under Rule 10A-3 under the Exchange Act.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and recommending nominees for election by the shareholders or appointment by the board of directors;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annually with the board of directors about its current composition with regards to characteristics such as independence, age, skills, experience, diversity and availability of service to us;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of directors on the frequency and structure of board meetings and monitoring the functioning of the committees of the board; and</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Duties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convening shareholders’ annual and extraordinary general meetings and reporting its work to shareholders at such meetings;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declaring dividends and distributions;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officers and determining the term of office and responsibilities of the officers;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exercising the borrowing powers of our company and mortgaging the property of our company;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the transfer of shares in our company, including the registration of such shares in our register of members.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Oversight of Cybersecurity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Terms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such director’s office be vacated; (v) is prohibited by law from being a director, or (vi) is removed from office pursuant to any other provision of our memorandum and articles of association, as amended and restated from time to time. Our officers are elected by and serve at the discretion of the board of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 and Indemnification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 to the completion of this offering, we plan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2022, we paid an aggregate of approximately US$0.6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The specific contribution rate to be made varies depending on whether the employee is a Singapore citizen or permanent resident and the age group and wage band of the employee.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Incentive Plan</w:t>
      </w:r>
    </w:p>
    <w:p>
      <w:pPr>
        <w:pStyle w:val="TextBody"/>
        <w:keepNext w:val="true"/>
        <w:pageBreakBefore w:val="false"/>
        <w:widowControl/>
        <w:pBdr/>
        <w:bidi w:val="0"/>
        <w:spacing w:before="240" w:after="283"/>
        <w:ind w:left="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2023 Equity Incentive Plan was adopted on September 29,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number of ordinary shares may be subject to awards pursuant to the 2023 Equity Incentive Plan is 55,000,000 initially. The aggregate number of ordinary shares available for issuance under the 2023 Equity Incentive Plan will be increased on January 1 of the fiscal year immediately following the fiscal year in which an initial public offering of our shares is consummated, by an amount equal to 1% of the total number of ordinary shares issued and outstanding on December 31 of the immediately preceding fiscal year.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 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Awards under the 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 Options.    </w:t>
      </w:r>
      <w:r>
        <w:rPr>
          <w:rFonts w:ascii="Times New Roman PS Std;serif" w:hAnsi="Times New Roman PS Std;serif"/>
          <w:b w:val="false"/>
          <w:i w:val="false"/>
          <w:caps w:val="false"/>
          <w:smallCaps w:val="false"/>
          <w:sz w:val="20"/>
        </w:rPr>
        <w:t>Share options may be granted under the 2023 Equity Incentive Plan. The administrator 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Shares.    </w:t>
      </w:r>
      <w:r>
        <w:rPr>
          <w:rFonts w:ascii="Times New Roman PS Std;serif" w:hAnsi="Times New Roman PS Std;serif"/>
          <w:b w:val="false"/>
          <w:i w:val="false"/>
          <w:caps w:val="false"/>
          <w:smallCaps w:val="false"/>
          <w:sz w:val="20"/>
        </w:rPr>
        <w:t>A restricted share award agreement will specify restrictions on the duration of the 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Share Units.    </w:t>
      </w:r>
      <w:r>
        <w:rPr>
          <w:rFonts w:ascii="Times New Roman PS Std;serif" w:hAnsi="Times New Roman PS Std;serif"/>
          <w:b w:val="false"/>
          <w:i w:val="false"/>
          <w:caps w:val="false"/>
          <w:smallCaps w:val="false"/>
          <w:sz w:val="20"/>
        </w:rPr>
        <w:t>Awards of restricted share units may be granted by the administrator. At the time 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Control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change in control, the administrator may provide for termination or acceleration of awards, purchase of awards from holders or replacement of awards.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terminated earlier, the 2023 Equity Incentive Plan will continue in effect for a term of ten years from the date of its adoption.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Amendment and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shareholders’ approval and certain exceptions, the board of directors may at any time amend or terminate the 2023 Equity Incentive Plan.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12"/>
      <w:bookmarkEnd w:id="18"/>
      <w:r>
        <w:rPr>
          <w:rFonts w:ascii="Times New Roman PS Std;serif" w:hAnsi="Times New Roman PS Std;serif"/>
          <w:b/>
          <w:i w:val="false"/>
          <w:caps w:val="false"/>
          <w:smallCaps w:val="false"/>
          <w:sz w:val="20"/>
        </w:rPr>
        <w:t>PRINCIPAL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specifically noted, the following table sets forth information with respect to the beneficial ownership of our ordinary shares as of the date of this prospectus by: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executive officers;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principal shareholders who beneficially own 5% or more of our total outstanding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calculations in the table below are based on 501,964,286 ordinary shares issued and outstanding as of the date of this prospectus, and 50,000,000 Class A ordinary shares and 470,714,286 Class B ordinary shares issued and outstanding immediately after the completion of this offering. All of our issued and outstanding shares are fully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tbl>
      <w:tblPr>
        <w:tblW w:w="11687" w:type="dxa"/>
        <w:jc w:val="left"/>
        <w:tblInd w:w="0" w:type="dxa"/>
        <w:tblLayout w:type="fixed"/>
        <w:tblCellMar>
          <w:top w:w="0" w:type="dxa"/>
          <w:left w:w="0" w:type="dxa"/>
          <w:bottom w:w="0" w:type="dxa"/>
          <w:right w:w="0" w:type="dxa"/>
        </w:tblCellMar>
      </w:tblPr>
      <w:tblGrid>
        <w:gridCol w:w="1286"/>
        <w:gridCol w:w="146"/>
        <w:gridCol w:w="1186"/>
        <w:gridCol w:w="146"/>
        <w:gridCol w:w="1306"/>
        <w:gridCol w:w="146"/>
        <w:gridCol w:w="1036"/>
        <w:gridCol w:w="146"/>
        <w:gridCol w:w="1066"/>
        <w:gridCol w:w="146"/>
        <w:gridCol w:w="1186"/>
        <w:gridCol w:w="146"/>
        <w:gridCol w:w="1306"/>
        <w:gridCol w:w="146"/>
        <w:gridCol w:w="1036"/>
        <w:gridCol w:w="146"/>
        <w:gridCol w:w="1111"/>
      </w:tblGrid>
      <w:tr>
        <w:trPr/>
        <w:tc>
          <w:tcPr>
            <w:tcW w:w="12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w:t>
              <w:br/>
              <w:t xml:space="preserve">Beneficially Owned </w:t>
              <w:br/>
              <w:t>Prior to This Offering</w:t>
            </w:r>
          </w:p>
        </w:tc>
        <w:tc>
          <w:tcPr>
            <w:tcW w:w="146" w:type="dxa"/>
            <w:tcBorders/>
            <w:vAlign w:val="bottom"/>
          </w:tcPr>
          <w:p>
            <w:pPr>
              <w:pStyle w:val="TableContents"/>
              <w:bidi w:val="0"/>
              <w:spacing w:before="0" w:after="283"/>
              <w:jc w:val="left"/>
              <w:rPr/>
            </w:pPr>
            <w:r>
              <w:rPr/>
              <w:t> </w:t>
            </w:r>
          </w:p>
        </w:tc>
        <w:tc>
          <w:tcPr>
            <w:tcW w:w="50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w:t>
              <w:br/>
              <w:t xml:space="preserve">Beneficially Owned </w:t>
              <w:br/>
              <w:t>After This Offering</w:t>
            </w:r>
          </w:p>
        </w:tc>
      </w:tr>
      <w:tr>
        <w:trPr/>
        <w:tc>
          <w:tcPr>
            <w:tcW w:w="1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Ordinary</w:t>
              <w:br/>
              <w:t>Shares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Ordinary</w:t>
              <w:br/>
              <w:t>Shares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 Total</w:t>
              <w:br/>
              <w:t>Ordinary</w:t>
              <w:br/>
              <w:t>Shares</w:t>
              <w:br/>
              <w:t>on An</w:t>
              <w:br/>
              <w:t>As-</w:t>
              <w:br/>
              <w:t>converted</w:t>
              <w:br/>
              <w:t>Basis†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Aggregate</w:t>
              <w:br/>
              <w:t>Voting</w:t>
              <w:br/>
              <w:t>Power††</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Ordinary</w:t>
              <w:br/>
              <w:t>Shares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Ordinary</w:t>
              <w:br/>
              <w:t>Shares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Total</w:t>
              <w:br/>
              <w:t>Ordinary</w:t>
              <w:br/>
              <w:t>Shares</w:t>
              <w:br/>
              <w:t>on An</w:t>
              <w:br/>
              <w:t>As-</w:t>
              <w:br/>
              <w:t>converted</w:t>
              <w:br/>
              <w:t>Basis</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Aggregate</w:t>
              <w:br/>
              <w:t>Voting</w:t>
              <w:br/>
              <w:t>Power</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Soon Huat Lim</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274,633,571</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64.7</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94.9</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274,633,571</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62.3</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94.4</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Poh Kiong Tan</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Haiyan Huang</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All directors and executive officers as a group</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289,633,571</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67.7</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95.3</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289,633,571</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65.2</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94.8</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Shareholders: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Trident Digital Tech Ltd</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86.9</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86.4</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Trident Group Holdings Ltd</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29.9</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28.8</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 Wealth Ltd</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124,633,571</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24.8</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124,633,571</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23.9</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Soon Tai Lee</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14.9</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Yat Hong Lo</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0.7</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Except as indicated otherwise below, the business address of our directors and executive officers is Suntec Tower 3, 8 Temasek Boulevard Road, #24-03 Singapore, 038988.</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For each person and group included in this table, percentage ownership is calculated by dividing the number of shares beneficially owned by such person or group by the sum of (i) the number of ordinary shares outstanding as of the date of this prospectus, and (ii) the number of ordinary shares underlying share options held by such person or group that are exercisable within 60 days after the date of this prospectus.</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Represents (i) 50,000,000 Class A ordinary shares held by Trident Digital Tech Ltd, a company limited by shares incorporated in British Virgin Islands which is wholly owned by Mr. Soon Huat Lim; (ii) 150,000,000 Class B ordinary shares held by Trident Group Holdings Ltd, a company limited by shares incorporated in British Virgin Islands which is wholly owned by Mr. Soon Huat Lim; and (iii) 124,633,571 Class B ordinary shares held by Tri Wealth Ltd, a company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10,000,000 Class B ordinary shares directly held by Mr. Poh Kiong Tan.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5,000,000 Class B ordinary shares held by Trident Verse Ltd, a British Virgin Islands company wholly owned by a trust established for the benefit of Ms. Haiyan Huang and her family, to which Ms. Haiyan Huang is also the settlor. The registered address of Trident Verse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Represents 150,000,000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Represents 124,633,571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Represents 75,000,000 Class B ordinary shares directly held by Mr. Soon Tai Lee.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Represents 25,000,000 Class B ordinary shares directly held by Mr. Yat Hong Lo.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none of our ordinary shares are held by record holders in the United States. None of our existing shareholders will have different voting rights from other shareholders after the completion of this offering. We are not aware of any arrangement that may, at a subsequent date, result in a change of control of our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11"/>
      <w:bookmarkEnd w:id="19"/>
      <w:r>
        <w:rPr>
          <w:rFonts w:ascii="Times New Roman PS Std;serif" w:hAnsi="Times New Roman PS Std;serif"/>
          <w:b/>
          <w:i w:val="false"/>
          <w:caps w:val="false"/>
          <w:smallCaps w:val="false"/>
          <w:sz w:val="20"/>
        </w:rPr>
        <w:t>RELATED PARTY TRANSACTIONS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“Description of Share Capital — History of Securities Issuances.”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 and Indemnification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“Management — Employment Agreements and Indemnification Agreements.”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“Management — Equity Incentive Plan.”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Related Party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from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 a wholly-owned company of Mr. Soon Huat Lim, our founder, chairman of board of directors and chief executive officer, provided an interest-free loan in the amount of US$889,422 to us to support our operations. The loan was due on demand. The remaining balance of the loan was fully settled in June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Lim has also historically provided short-term financing in the aggregate amount of US$1,451 for us to support our operation. The financing was provided in the form of interest-free short-term borrowings. The short-term borrowings did not have a fixed term and were repayable upon demand. The remaining balance of the short-term borrowings was fully settled in June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Poh Kiong Tan, our chief technology officer, has historically provided short-term financing in the aggregate amount of US$188,026 for us to support our operation. The financing was provided in the form of interest-free short-term borrowings. The short-term borrowings did not have a fixed term and were repayable upon demand. The remaining balance of the short-term borrowings of US$40,197 as of June 30, 2023 was fully settled in July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receive any financing from related parties after completion of this offering.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to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2023, Mr. Lim has received short-term loan in the aggregate amount of US$1,007,634 from us. The loan was provided in the form of interest-free short-term borrowing. The short-term borrowing did not have a fixed term and were repayable upon demand. The short-term borrowing was fully repaid in September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10"/>
      <w:bookmarkEnd w:id="20"/>
      <w:r>
        <w:rPr>
          <w:rFonts w:ascii="Times New Roman PS Std;serif" w:hAnsi="Times New Roman PS Std;serif"/>
          <w:b/>
          <w:i w:val="false"/>
          <w:caps w:val="false"/>
          <w:smallCaps w:val="false"/>
          <w:sz w:val="20"/>
        </w:rPr>
        <w:t>DESCRIPTION OF SHARE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our authorized share capital is US$50,000 divided into 5,000,000,000 ordinary shares with a par value of US$0.00001 each, comprising (i) 1,000,000,000 Class A ordinary shares, (ii) 4,000,000,000 Class B ordinary shares. As of the date of this prospectus, (i) 50,000,000 Class A ordinary shares, and (ii) 451,964,286 Class B ordinary shares are issued and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completion of this offering, our authorized share capital will be changed into US$50,000 divided into 5,000,000,000 ordinary shares with a par value of US$0.00001 each, comprising (i) 1,000,000,000 Class A ordinary shares with a par value of US$0.00001 each, (ii) 3,000,000,000 Class B ordinary shares with a par value of US$0.00001 each, and (iii) 1,000,000,000 shares of a par value of US$0.00001 each of such class or classes (however designated) as the board of directors may determine in accordance with our post-offering amended and restated memorandum and articles of association. We will issue 18,750,000 Class B ordinary shares represented by ADSs in this offering. All options, regardless of grant dates, will entitle holders to an equivalent number of ordinary shares once the vesting and exercising conditions are met.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General.    </w:t>
      </w:r>
      <w:r>
        <w:rPr>
          <w:rFonts w:ascii="Times New Roman PS Std;serif" w:hAnsi="Times New Roman PS Std;serif"/>
          <w:b w:val="false"/>
          <w:i w:val="false"/>
          <w:caps w:val="false"/>
          <w:smallCaps w:val="false"/>
          <w:sz w:val="20"/>
        </w:rPr>
        <w:t>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Conversion.    </w:t>
      </w:r>
      <w:r>
        <w:rPr>
          <w:rFonts w:ascii="Times New Roman PS Std;serif" w:hAnsi="Times New Roman PS Std;serif"/>
          <w:b w:val="false"/>
          <w:i w:val="false"/>
          <w:caps w:val="false"/>
          <w:smallCaps w:val="false"/>
          <w:sz w:val="20"/>
        </w:rPr>
        <w:t>Class A ordinary shares may be converted into the same number of Class B ordinary shares 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Dividends.    </w:t>
      </w:r>
      <w:r>
        <w:rPr>
          <w:rFonts w:ascii="Times New Roman PS Std;serif" w:hAnsi="Times New Roman PS Std;serif"/>
          <w:b w:val="false"/>
          <w:i w:val="false"/>
          <w:caps w:val="false"/>
          <w:smallCaps w:val="false"/>
          <w:sz w:val="20"/>
        </w:rPr>
        <w:t>Subject to the Companies Act,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also pay interim dividends, whenever our financial position, in the opinion of our directors, justifies such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deduct from any dividend or bonus payable to any shareholder all sums of money (if any) presently payable by such shareholder to us on account of calls or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Voting Rights.    </w:t>
      </w:r>
      <w:r>
        <w:rPr>
          <w:rFonts w:ascii="Times New Roman PS Std;serif" w:hAnsi="Times New Roman PS Std;serif"/>
          <w:b w:val="false"/>
          <w:i w:val="false"/>
          <w:caps w:val="false"/>
          <w:smallCaps w:val="false"/>
          <w:sz w:val="20"/>
        </w:rPr>
        <w:t>On a show of hands each shareholder is entitled to one vote or, on a poll, each 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poll may be demanded by the chairman of such meeting or any shareholder present in person or by proxy.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shareholder shall be entitled to vote or be reckoned in a quorum, in respect of any share, unless such shareholder is duly registered as our shareholder and all calls or instalments due by such shareholder to us have been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Transfer of Ordinary Shares.    </w:t>
      </w:r>
      <w:r>
        <w:rPr>
          <w:rFonts w:ascii="Times New Roman PS Std;serif" w:hAnsi="Times New Roman PS Std;serif"/>
          <w:b w:val="false"/>
          <w:i w:val="false"/>
          <w:caps w:val="false"/>
          <w:smallCaps w:val="false"/>
          <w:sz w:val="20"/>
        </w:rPr>
        <w:t>Subject to any applicable restrictions set forth in our articles of 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or in another form that our directors may approve.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decline to register any transfer of any share which is not paid up or on which we have a lien. Our directors may also decline to register any transfer of any share unless: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lodged with us and is accompanied by the certificate for the shares to which it relates and such other evidence as our directors may reasonably require to show the right of the transferor to make the transfer;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in respect of only one class of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properly stamped (in circumstances where stamping is required);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 of such maximum sum as the Nasdaq may determine to be payable or such lesser sum as our directors may from time to time require is paid to us in respect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Liquidation.    </w:t>
      </w:r>
      <w:r>
        <w:rPr>
          <w:rFonts w:ascii="Times New Roman PS Std;serif" w:hAnsi="Times New Roman PS Std;serif"/>
          <w:b w:val="false"/>
          <w:i w:val="false"/>
          <w:caps w:val="false"/>
          <w:smallCaps w:val="false"/>
          <w:sz w:val="20"/>
        </w:rPr>
        <w:t>Subject to any future shares which are issued with specific rights, (1) if we are wound up 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Calls on Ordinary Shares and Forfeiture of Ordinary Shares.    </w:t>
      </w:r>
      <w:r>
        <w:rPr>
          <w:rFonts w:ascii="Times New Roman PS Std;serif" w:hAnsi="Times New Roman PS Std;serif"/>
          <w:b w:val="false"/>
          <w:i w:val="false"/>
          <w:caps w:val="false"/>
          <w:smallCaps w:val="false"/>
          <w:sz w:val="20"/>
        </w:rPr>
        <w:t>Subject to our memorandum and articles 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that have been called upon and remain unpaid are subject to forfeiture.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Redemption, Repurchase and Surrender of Ordinary Shares.    </w:t>
      </w:r>
      <w:r>
        <w:rPr>
          <w:rFonts w:ascii="Times New Roman PS Std;serif" w:hAnsi="Times New Roman PS Std;serif"/>
          <w:b w:val="false"/>
          <w:i w:val="false"/>
          <w:caps w:val="false"/>
          <w:smallCaps w:val="false"/>
          <w:sz w:val="20"/>
        </w:rPr>
        <w:t>We are empowered by the Companies Act and our amended and restated articles of association to purchase our own shares, subject to certain restrictions.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only exercise this power on our behalf, subject to the Companies Act, our memorandum and articles of association and to any applicable requirements imposed from time to time by the Nasdaq, the Securities and Exchange Commission, or by any other recognized stock exchange on which our securities are listed.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Variations of Rights of Shares.    </w:t>
      </w:r>
      <w:r>
        <w:rPr>
          <w:rFonts w:ascii="Times New Roman PS Std;serif" w:hAnsi="Times New Roman PS Std;serif"/>
          <w:b w:val="false"/>
          <w:i w:val="false"/>
          <w:caps w:val="false"/>
          <w:smallCaps w:val="false"/>
          <w:sz w:val="20"/>
        </w:rPr>
        <w:t>If at any time, our share capital is divided into different classes of 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xml:space="preserve"> with such existing class of shares.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Inspection of Books and Records.    </w:t>
      </w:r>
      <w:r>
        <w:rPr>
          <w:rFonts w:ascii="Times New Roman PS Std;serif" w:hAnsi="Times New Roman PS Std;serif"/>
          <w:b w:val="false"/>
          <w:i w:val="false"/>
          <w:caps w:val="false"/>
          <w:smallCaps w:val="false"/>
          <w:sz w:val="20"/>
        </w:rPr>
        <w:t>Holders of our ordinary shares have no general right under Cayman 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Issuance of Additional Shares.    </w:t>
      </w:r>
      <w:r>
        <w:rPr>
          <w:rFonts w:ascii="Times New Roman PS Std;serif" w:hAnsi="Times New Roman PS Std;serif"/>
          <w:b w:val="false"/>
          <w:i w:val="false"/>
          <w:caps w:val="false"/>
          <w:smallCaps w:val="false"/>
          <w:sz w:val="20"/>
        </w:rPr>
        <w:t>Our post-offering amended and restated memorandum of association authorizes our board of directors to issue additional ordinary shares from time to time as our board of directors shall determine, to the extent of available authorized but unissued shares.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of the series;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of the series;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dividend rights, dividend rates, conversion rights, voting rights;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and terms of redemption and liquidation preferences.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may issue preferred shares without action by our shareholders to the extent authorized but unissued. Issuance of these shares may dilute the voting power of holders of ordinary shares.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Anti-Takeover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Provisions.    </w:t>
      </w:r>
      <w:r>
        <w:rPr>
          <w:rFonts w:ascii="Times New Roman PS Std;serif" w:hAnsi="Times New Roman PS Std;serif"/>
          <w:b w:val="false"/>
          <w:i w:val="false"/>
          <w:caps w:val="false"/>
          <w:smallCaps w:val="false"/>
          <w:sz w:val="20"/>
        </w:rPr>
        <w:t xml:space="preserve">Some provisions of our post-offering amended and restated memorandum and articles of association may discourage, delay or prevent a change of control of our company or management that shareholders may consider favorable, including provisions that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our board of directors to issue preferred shares in one or more series and to designate the price, rights, preferences, privileges and restrictions of such preferred shares without any further vote or action by our shareholders;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 the ability of shareholders to requisition and convene general meetings of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Exclusive Forum</w:t>
      </w:r>
      <w:r>
        <w:rPr>
          <w:rFonts w:ascii="Times New Roman PS Std;serif" w:hAnsi="Times New Roman PS Std;serif"/>
          <w:b w:val="false"/>
          <w:i w:val="false"/>
          <w:caps w:val="false"/>
          <w:smallCaps w:val="false"/>
          <w:sz w:val="20"/>
        </w:rPr>
        <w:t>.    Unless we consent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Without prejudice to the foregoing, if this exclusive forum provision is held to be illegal, invalid or unenforceable under applicable law, the legality, validity or enforceability of the rest of the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 of Members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Maples Corporate Services Limited, PO Box 309, Ugland House, Grand Cayman, KY1-1104,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we fail to update our register of member, the depositary, as the aggrieved party, may apply for an order with the courts of the Cayman Islands for the rectification of the register.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Differences in Corporate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Mergers and Similar Arrangements.    </w:t>
      </w:r>
      <w:r>
        <w:rPr>
          <w:rFonts w:ascii="Times New Roman PS Std;serif" w:hAnsi="Times New Roman PS Std;serif"/>
          <w:b w:val="false"/>
          <w:i w:val="false"/>
          <w:caps w:val="false"/>
          <w:smallCaps w:val="false"/>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statutory provisions as to the required majority vote have been met;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such that may be reasonably approved by an intelligent and honest man of that class acting in respect of his interest;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not one that would more properly be sanctioned under some other provision of the Companies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Shareholders’ Suits.    </w:t>
      </w:r>
      <w:r>
        <w:rPr>
          <w:rFonts w:ascii="Times New Roman PS Std;serif" w:hAnsi="Times New Roman PS Std;serif"/>
          <w:b w:val="false"/>
          <w:i w:val="false"/>
          <w:caps w:val="false"/>
          <w:smallCaps w:val="false"/>
          <w:sz w:val="20"/>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PS Std;serif" w:hAnsi="Times New Roman PS Std;serif"/>
          <w:b w:val="false"/>
          <w:i/>
          <w:caps w:val="false"/>
          <w:smallCaps w:val="false"/>
          <w:sz w:val="20"/>
        </w:rPr>
        <w:t>Foss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Harbottle </w:t>
      </w:r>
      <w:r>
        <w:rPr>
          <w:rFonts w:ascii="Times New Roman PS Std;serif" w:hAnsi="Times New Roman PS Std;serif"/>
          <w:b w:val="false"/>
          <w:i w:val="false"/>
          <w:caps w:val="false"/>
          <w:smallCaps w:val="false"/>
          <w:sz w:val="20"/>
        </w:rPr>
        <w:t>and the exceptions thereto) so that a non-controlling shareholder may be permitted to commence a class action against or derivative actions in the name of our company to challenge actions where: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company acts or proposes to act illegally or ultra vires;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act complained of, although not ultra vires, could only be effected duly if authorized by more than a simple majority vote that has not been obtained;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those who control our company are perpetrating a “fraud on the minority.”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Indemnification of Directors and Executive Officers and Limitation of Liability.    </w:t>
      </w:r>
      <w:r>
        <w:rPr>
          <w:rFonts w:ascii="Times New Roman PS Std;serif" w:hAnsi="Times New Roman PS Std;serif"/>
          <w:b w:val="false"/>
          <w:i w:val="false"/>
          <w:caps w:val="false"/>
          <w:smallCaps w:val="false"/>
          <w:sz w:val="20"/>
        </w:rPr>
        <w:t xml:space="preserve">Cayman Islands law does not limit the extent to which a company’s memorandum and articles of association may provide for indemnification of officers and directors, except to the extent any such provision may be held by the Cayman Islands courts to be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Directors’ Fiduciary Duties.    </w:t>
      </w:r>
      <w:r>
        <w:rPr>
          <w:rFonts w:ascii="Times New Roman PS Std;serif" w:hAnsi="Times New Roman PS Std;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 Action by Written Consent.    </w:t>
      </w:r>
      <w:r>
        <w:rPr>
          <w:rFonts w:ascii="Times New Roman PS Std;serif" w:hAnsi="Times New Roman PS Std;serif"/>
          <w:b w:val="false"/>
          <w:i w:val="false"/>
          <w:caps w:val="false"/>
          <w:smallCaps w:val="false"/>
          <w:sz w:val="20"/>
        </w:rPr>
        <w:t>Under the Delaware General Corporation Law, a corporation 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 Proposals.    </w:t>
      </w:r>
      <w:r>
        <w:rPr>
          <w:rFonts w:ascii="Times New Roman PS Std;serif" w:hAnsi="Times New Roman PS Std;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Cumulative Voting.    </w:t>
      </w:r>
      <w:r>
        <w:rPr>
          <w:rFonts w:ascii="Times New Roman PS Std;serif" w:hAnsi="Times New Roman PS Std;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Removal of Directors.    </w:t>
      </w:r>
      <w:r>
        <w:rPr>
          <w:rFonts w:ascii="Times New Roman PS Std;serif" w:hAnsi="Times New Roman PS Std;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Transactions with Interested Shareholders.    </w:t>
      </w:r>
      <w:r>
        <w:rPr>
          <w:rFonts w:ascii="Times New Roman PS Std;serif" w:hAnsi="Times New Roman PS Std;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Dissolution; Winding up.    </w:t>
      </w:r>
      <w:r>
        <w:rPr>
          <w:rFonts w:ascii="Times New Roman PS Std;serif" w:hAnsi="Times New Roman PS Std;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Variation of Rights of Shares.    </w:t>
      </w:r>
      <w:r>
        <w:rPr>
          <w:rFonts w:ascii="Times New Roman PS Std;serif" w:hAnsi="Times New Roman PS Std;serif"/>
          <w:b w:val="false"/>
          <w:i w:val="false"/>
          <w:caps w:val="false"/>
          <w:smallCaps w:val="false"/>
          <w:sz w:val="20"/>
        </w:rPr>
        <w:t>Under the Delaware General Corporation Law, a corporation may vary 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Amendment of Governing Documents.    </w:t>
      </w:r>
      <w:r>
        <w:rPr>
          <w:rFonts w:ascii="Times New Roman PS Std;serif" w:hAnsi="Times New Roman PS Std;serif"/>
          <w:b w:val="false"/>
          <w:i w:val="false"/>
          <w:caps w:val="false"/>
          <w:smallCaps w:val="false"/>
          <w:sz w:val="20"/>
        </w:rPr>
        <w:t>Under the Delaware General Corporation Law, a corporation’s 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Rights of Nonresident or Foreign Shareholders.    </w:t>
      </w:r>
      <w:r>
        <w:rPr>
          <w:rFonts w:ascii="Times New Roman PS Std;serif" w:hAnsi="Times New Roman PS Std;serif"/>
          <w:b w:val="false"/>
          <w:i w:val="false"/>
          <w:caps w:val="false"/>
          <w:smallCaps w:val="false"/>
          <w:sz w:val="20"/>
        </w:rPr>
        <w:t>There are no limitations imposed by our post-offering 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History of Securities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2023, we issued an aggregate of 275,705,000 Class B ordinary shares, to Trident Group Holdings Ltd and Tri Wealth Ltd, entities owned by Mr. Lim, at par value of US$0.00001 each.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we issued 10,000,000 Class B ordinary shares to our chief technology officer, Mr. Poh Kiong Tan,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we issued 5,000,000 Class B ordinary shares to Trident Verse Ltd, an entity owned by our chief financial officer, Ms. Haiyan Huang,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as part of our reorganization in preparation for our financing and listing opportunities outside Singapore, we issued an aggregate of 159,295,000 Class B ordinary shares in the aggregate consideration of approximately US$7,500,000 to certain original shareholders of our operating subsidiaries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 2023, we issued an aggregate of 1,964,286 Class B ordinary shares in the aggregate consideration of US$1,100,000 to certain individual and institutional investors.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
      <w:bookmarkEnd w:id="21"/>
      <w:r>
        <w:rPr>
          <w:rFonts w:ascii="Times New Roman PS Std;serif" w:hAnsi="Times New Roman PS Std;serif"/>
          <w:b/>
          <w:i w:val="false"/>
          <w:caps w:val="false"/>
          <w:smallCaps w:val="false"/>
          <w:sz w:val="20"/>
        </w:rPr>
        <w:t>DESCRIPTION OF AMERICAN DEPOSITARY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Citibank, N.A. (“Citibank”)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appoint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Please refer to Registration Number 333-[•] when retrieving such copy.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ADS represents the right to receive, and to exercise the beneficial ownership interests in ten (10)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Dividends and Distributions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Distributions of Cash</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Distributions of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Times New Roman PS Std;serif" w:hAnsi="Times New Roman PS Std;serif"/>
          <w:b w:val="false"/>
          <w:i w:val="false"/>
          <w:caps w:val="false"/>
          <w:smallCaps w:val="false"/>
          <w:sz w:val="20"/>
          <w:u w:val="single"/>
        </w:rPr>
        <w:t>either</w:t>
      </w:r>
      <w:r>
        <w:rPr>
          <w:rFonts w:ascii="Times New Roman PS Std;serif" w:hAnsi="Times New Roman PS Std;serif"/>
          <w:b w:val="false"/>
          <w:i w:val="false"/>
          <w:caps w:val="false"/>
          <w:smallCaps w:val="false"/>
          <w:sz w:val="20"/>
        </w:rPr>
        <w:t xml:space="preserve"> distribute to holders new ADSs representing the Class B ordinary shares deposited </w:t>
      </w:r>
      <w:r>
        <w:rPr>
          <w:rFonts w:ascii="Times New Roman PS Std;serif" w:hAnsi="Times New Roman PS Std;serif"/>
          <w:b w:val="false"/>
          <w:i w:val="false"/>
          <w:caps w:val="false"/>
          <w:smallCaps w:val="false"/>
          <w:sz w:val="20"/>
          <w:u w:val="single"/>
        </w:rPr>
        <w:t>or</w:t>
      </w:r>
      <w:r>
        <w:rPr>
          <w:rFonts w:ascii="Times New Roman PS Std;serif" w:hAnsi="Times New Roman PS Std;serif"/>
          <w:b w:val="false"/>
          <w:i w:val="false"/>
          <w:caps w:val="false"/>
          <w:smallCaps w:val="false"/>
          <w:sz w:val="20"/>
        </w:rPr>
        <w:t xml:space="preserve">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such distribution of new ADSs will be made if it would violate a law (</w:t>
      </w:r>
      <w:r>
        <w:rPr>
          <w:rFonts w:ascii="Times New Roman PS Std;serif" w:hAnsi="Times New Roman PS Std;serif"/>
          <w:b w:val="false"/>
          <w:i/>
          <w:caps w:val="false"/>
          <w:smallCaps w:val="false"/>
          <w:sz w:val="20"/>
        </w:rPr>
        <w:t>e.g.</w:t>
      </w:r>
      <w:r>
        <w:rPr>
          <w:rFonts w:ascii="Times New Roman PS Std;serif" w:hAnsi="Times New Roman PS Std;serif"/>
          <w:b w:val="false"/>
          <w:i w:val="false"/>
          <w:caps w:val="false"/>
          <w:smallCaps w:val="false"/>
          <w:sz w:val="20"/>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Distributions of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depositary bank will </w:t>
      </w:r>
      <w:r>
        <w:rPr>
          <w:rFonts w:ascii="Times New Roman PS Std;serif" w:hAnsi="Times New Roman PS Std;serif"/>
          <w:b w:val="false"/>
          <w:i/>
          <w:caps w:val="false"/>
          <w:smallCaps w:val="false"/>
          <w:sz w:val="20"/>
        </w:rPr>
        <w:t>not</w:t>
      </w:r>
      <w:r>
        <w:rPr>
          <w:rFonts w:ascii="Times New Roman PS Std;serif" w:hAnsi="Times New Roman PS Std;serif"/>
          <w:b w:val="false"/>
          <w:i w:val="false"/>
          <w:caps w:val="false"/>
          <w:smallCaps w:val="false"/>
          <w:sz w:val="20"/>
        </w:rPr>
        <w:t xml:space="preserve"> distribute the rights to you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timely request that the rights be distributed to you or we request that the rights not be distributed to you;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fail to deliver satisfactory documents to the depositary bank;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not reasonably practicable to distribute the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Elective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election is not made available to you, you will receive either cash or additional ADSs, depending on what a shareholder in the Cayman Islands would receive upon failing to make an election, as more fully described in the deposit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Other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depositary bank will </w:t>
      </w:r>
      <w:r>
        <w:rPr>
          <w:rFonts w:ascii="Times New Roman PS Std;serif" w:hAnsi="Times New Roman PS Std;serif"/>
          <w:b w:val="false"/>
          <w:i/>
          <w:caps w:val="false"/>
          <w:smallCaps w:val="false"/>
          <w:sz w:val="20"/>
        </w:rPr>
        <w:t>not</w:t>
      </w:r>
      <w:r>
        <w:rPr>
          <w:rFonts w:ascii="Times New Roman PS Std;serif" w:hAnsi="Times New Roman PS Std;serif"/>
          <w:b w:val="false"/>
          <w:i w:val="false"/>
          <w:caps w:val="false"/>
          <w:smallCaps w:val="false"/>
          <w:sz w:val="20"/>
        </w:rPr>
        <w:t xml:space="preserve"> distribute the property to you and will sell the property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request that the property be distributed to you or if we request that the property not be distributed to you;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deliver satisfactory documents to the depositary bank;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determines that all or a portion of the distribution to you is not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proceeds of such a sale will be distributed to holders as in the case of a cash distribution.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Redemption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 PS Std;serif" w:hAnsi="Times New Roman PS Std;serif"/>
          <w:b w:val="false"/>
          <w:i/>
          <w:caps w:val="false"/>
          <w:smallCaps w:val="false"/>
          <w:sz w:val="20"/>
        </w:rPr>
        <w:t>pro rata</w:t>
      </w:r>
      <w:r>
        <w:rPr>
          <w:rFonts w:ascii="Times New Roman PS Std;serif" w:hAnsi="Times New Roman PS Std;serif"/>
          <w:b w:val="false"/>
          <w:i w:val="false"/>
          <w:caps w:val="false"/>
          <w:smallCaps w:val="false"/>
          <w:sz w:val="20"/>
        </w:rPr>
        <w:t xml:space="preserve"> basis, as the depositary bank may determine.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Changes Affecting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Issuance of ADSs upon Deposit of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offering, the Class B ordinary shares being offered pursuant to the prospectus will be deposited by us with the custodian. Upon receipt of confirmation of such deposit, the depositary bank will issue ADSs to the underwriters named in the prospectus. After the completion of the offering, the Class B ordinary shares that are being offered for sale pursuant to the prospectus will be deposited by us with the custodian. Upon receipt of confirmation of such deposit, the depositary bank will issue ADSs to the underwriters named in the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closing of the offer, the depositary bank may create ADSs on your behalf if you or your broker deposit Class B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you make a deposit of Class B ordinary shares, you will be responsible for transferring good and valid title to the depositary bank. As such, you will be deemed to represent and warrant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B ordinary shares are duly authorized, validly issued, fully paid, non-assessable and legally obtained.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preemptive (and similar) rights, if any, with respect to such Class B ordinary shares have been validly waived or exercised.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are duly authorized to deposit the Class B ordinary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B ordinary shares presented for deposit are free and clear of any lien, encumbrance, security interest, charge, mortgage or adverse claim, and are not, and the ADSs issuable upon such deposit will not be, “restricted securities” (as defined in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B ordinary shares presented for deposit have not been stripped of any rights or entitlements.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the representations or warranties are incorrect in any way, we and the depositary bank may, at your cost and expense, take any and all actions necessary to correct the consequences of the misrepresentations.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Transfer, Combination and Split Up of ADRs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ADR holder, you will be entitled to transfer, combine or split up your ADRs and the ADSs evidenced thereby. For transfers of ADRs, you will have to surrender the ADRs to be transferred to the depositary bank and also must: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ensure that the surrendered ADR is properly endorsed or otherwise in proper form for transfer;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such proof of identity and genuineness of signatures as the depositary bank deems appropriate;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any transfer stamps required by the State of New York or the United States;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 all applicable fees, charges, expenses, taxes and other government charges payable by ADR holders pursuant to the terms of the deposit agreement, upon the transfer of ADRs.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Withdrawal of Class B ordinary shares Upon Cancellation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have the right to withdraw the securities represented by your ADSs at any time except for: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Temporary delays that may arise because (i) the transfer books for the Class B ordinary shares or ADSs are closed, or (ii) Class B ordinary shares are immobilized on account of a shareholders’ meeting or a payment of dividends.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Obligations to pay fees, taxes and similar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imposed because of laws or regulations applicable to ADSs or the withdrawal of securities on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may not be modified to impair your right to withdraw the securities represented by your ADSs except to comply with mandatory provisions of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Voting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depositary bank timely receives voting instructions from a holder of ADSs, it will endeavor to vote the securities (in person or by proxy) represented by the holder’s ADSs in accordance with such voting instructions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In the event of voting by show of hands</w:t>
      </w:r>
      <w:r>
        <w:rPr>
          <w:rFonts w:ascii="Times New Roman PS Std;serif" w:hAnsi="Times New Roman PS Std;serif"/>
          <w:b w:val="false"/>
          <w:i w:val="false"/>
          <w:caps w:val="false"/>
          <w:smallCaps w:val="false"/>
          <w:sz w:val="20"/>
        </w:rPr>
        <w:t>, the depositary bank will vote (or cause the custodian to vote) all Class B ordinary shares held on deposit at that time in accordance with the voting instructions received from a majority of holders of ADSs who provide timely voting instructions.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In the event of voting by poll</w:t>
      </w:r>
      <w:r>
        <w:rPr>
          <w:rFonts w:ascii="Times New Roman PS Std;serif" w:hAnsi="Times New Roman PS Std;serif"/>
          <w:b w:val="false"/>
          <w:i w:val="false"/>
          <w:caps w:val="false"/>
          <w:smallCaps w:val="false"/>
          <w:sz w:val="20"/>
        </w:rPr>
        <w:t>, the depositary bank will vote (or cause the Custodian to vote) the Class B ordinary shares held on deposit in accordance with the voting instructions received from the holders of ADSs.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Fees and Charges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ADS holder, you will be required to pay the following fees under the terms of the deposit agreement:</w:t>
      </w:r>
    </w:p>
    <w:tbl>
      <w:tblPr>
        <w:tblW w:w="10205" w:type="dxa"/>
        <w:jc w:val="left"/>
        <w:tblInd w:w="0" w:type="dxa"/>
        <w:tblLayout w:type="fixed"/>
        <w:tblCellMar>
          <w:top w:w="0" w:type="dxa"/>
          <w:left w:w="0" w:type="dxa"/>
          <w:bottom w:w="0" w:type="dxa"/>
          <w:right w:w="0" w:type="dxa"/>
        </w:tblCellMar>
      </w:tblPr>
      <w:tblGrid>
        <w:gridCol w:w="7271"/>
        <w:gridCol w:w="146"/>
        <w:gridCol w:w="2788"/>
      </w:tblGrid>
      <w:tr>
        <w:trPr/>
        <w:tc>
          <w:tcPr>
            <w:tcW w:w="7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Service</w:t>
            </w:r>
          </w:p>
        </w:tc>
        <w:tc>
          <w:tcPr>
            <w:tcW w:w="146" w:type="dxa"/>
            <w:tcBorders/>
            <w:vAlign w:val="bottom"/>
          </w:tcPr>
          <w:p>
            <w:pPr>
              <w:pStyle w:val="TableContents"/>
              <w:bidi w:val="0"/>
              <w:spacing w:before="0" w:after="283"/>
              <w:jc w:val="left"/>
              <w:rPr/>
            </w:pPr>
            <w:r>
              <w:rPr/>
              <w:t> </w:t>
            </w:r>
          </w:p>
        </w:tc>
        <w:tc>
          <w:tcPr>
            <w:tcW w:w="278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Fees</w:t>
            </w:r>
          </w:p>
        </w:tc>
      </w:tr>
      <w:tr>
        <w:trPr/>
        <w:tc>
          <w:tcPr>
            <w:tcW w:w="7271" w:type="dxa"/>
            <w:tcBorders/>
          </w:tcPr>
          <w:p>
            <w:pPr>
              <w:pStyle w:val="TableContents"/>
              <w:keepNext w:val="false"/>
              <w:widowControl/>
              <w:pBdr/>
              <w:bidi w:val="0"/>
              <w:spacing w:before="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Issuance of ADSs (e.g., an issuance of ADS upon a deposit of Class B ordinary shares, upon a change in the ADS(s)-to-Class B ordinary share(s) ratio, or for any other reason), excluding ADS issuances as a result of distributions of Class B ordinary shares)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issued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Cancellation of ADSs (e.g., a cancellation of ADSs for delivery of deposited property, upon a change in the ADS(s)-to-Class B ordinary share(s) ratio, or for any other reason)</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cancelled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cash dividends or other cash distributions (e.g., upon a sale of rights and other entitlements)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held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ADSs pursuant to (i) stock dividends or other free stock distributions, or (ii) exercise of rights to purchase additional ADSs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held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financial instruments, including, but not limited to, securities other than ADSs or rights to purchase additional ADSs (e.g., spin-off shares and contingent value rights)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held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ADS Services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held on the applicable record date(s) established by the depositary bank</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Registration of ADS transfers (e.g., upon a registration of the transfer of registered ownership of ADSs, upon a transfer of ADSs into DTC and </w:t>
            </w:r>
            <w:r>
              <w:rPr>
                <w:rFonts w:ascii="Times New Roman PS Std;serif" w:hAnsi="Times New Roman PS Std;serif"/>
                <w:b w:val="false"/>
                <w:i/>
                <w:caps w:val="false"/>
                <w:smallCaps w:val="false"/>
                <w:sz w:val="20"/>
              </w:rPr>
              <w:t>vice versa</w:t>
            </w:r>
            <w:r>
              <w:rPr>
                <w:rFonts w:ascii="Times New Roman PS Std;serif" w:hAnsi="Times New Roman PS Std;serif"/>
                <w:b w:val="false"/>
                <w:i w:val="false"/>
                <w:caps w:val="false"/>
                <w:smallCaps w:val="false"/>
                <w:sz w:val="20"/>
              </w:rPr>
              <w:t>, or for any other reason)</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(or fraction thereof) transferred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 PS Std;serif" w:hAnsi="Times New Roman PS Std;serif"/>
                <w:b w:val="false"/>
                <w:i/>
                <w:caps w:val="false"/>
                <w:smallCaps w:val="false"/>
                <w:sz w:val="20"/>
              </w:rPr>
              <w:t>vice versa</w:t>
            </w:r>
            <w:r>
              <w:rPr>
                <w:rFonts w:ascii="Times New Roman PS Std;serif" w:hAnsi="Times New Roman PS Std;serif"/>
                <w:b w:val="false"/>
                <w:i w:val="false"/>
                <w:caps w:val="false"/>
                <w:smallCaps w:val="false"/>
                <w:sz w:val="20"/>
              </w:rPr>
              <w:t>) or conversion of ADSs for unsponsored American Depositary Shares (e.g., upon termination of the Deposit Agreement).</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(or fraction thereof) converted</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ADS holder you will also be responsible to pay certain charges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taxes (including applicable interest and penalties) and other governmental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registration fees as may from time to time be in effect for the registration of Class B ordinary shares on the share register and applicable to transfers of Class B ordinary shares to or from the name of the custodian, the depositary bank or any nominees upon the making of deposits and withdrawals,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cable, telex and facsimile transmission and delivery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fees, expenses, spreads, taxes and other charges of the depositary bank and/or service providers (which may be a division, branch or affiliate of the depositary bank) in the conversion of foreign currency;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reasonable and customary out-of-pocket expenses incurred by the depositary bank in connection with compliance with exchange control regulations and other regulatory requirements applicable to Class B ordinary shares, ADSs and ADRs;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fees, charges, costs and expenses incurred by the depositary bank, the custodian, or any nominee in connection with the ADR program;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amounts payable to the depositary by any party to the deposit agreement pursuant to any ancillary agreement to the deposit agreement in respect of the ADR program, the ADSs and the ADRs.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Amendments and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Books of Depositary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maintain in New York facilities to record and process the issuance, cancellation, combination, split-up and transfer of ADSs. These facilities may be closed from time to time, to the extent not prohibited by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Limitations on Obligations and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limits our obligations and the depositary bank’s obligations to you. Please note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are obligated only to take the actions specifically stated in the deposit agreement without negligence or bad faith.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disclaims any liability for any failure to carry out voting instructions, for any manner in which a vote is cast or for the effect of any vote, provided it acts in good faith and in accordance with the terms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will not be obligated to perform any act that is inconsistent with the terms of the deposit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may rely without any liability upon any written notice, request or other document believed to be genuine and to have been signed or presented by the proper parties.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also disclaim liability for any consequential or punitive damages for any breach of the terms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disclaimer of any Securities Act liability is intended by any provision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Nothing in the deposit agreement gives rise to a partnership or joint venture, or establishes a fiduciary relationship, among us, the depositary bank and you as ADS holder.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Foreign Currency Conversion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conversion of foreign currency is not practical or lawful, or if any required approvals are denied or not obtainable at a reasonable cost or within a reasonable period, the depositary bank may take the following actions in its discretion: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Convert the foreign currency to the extent practical and lawful and distribute the U.S. dollars to the holders for whom the conversion and distribution is lawful and practical.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Distribute the foreign currency to holders for whom the distribution is lawful and practical.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 the foreign currency (without liability for interest) for the applicable 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Governing Law/Waiver of Jury Trial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Jurisdiction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(including claims arising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8"/>
      <w:bookmarkEnd w:id="22"/>
      <w:r>
        <w:rPr>
          <w:rFonts w:ascii="Times New Roman PS Std;serif" w:hAnsi="Times New Roman PS Std;serif"/>
          <w:b/>
          <w:i w:val="false"/>
          <w:caps w:val="false"/>
          <w:smallCaps w:val="false"/>
          <w:sz w:val="20"/>
        </w:rPr>
        <w:t>SHARES ELIGIBLE FOR FUTURE SALE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this offering, we will have 1,875,000 ADSs outstanding, representing 18,750,000 Class B ordinary shares, or approximately 3.6% of our outstanding ordinary shares.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Nasdaq Capital Market, we cannot assure you that a regular trading market will develop in the ADSs. We do not expect that a trading market will develop in our ordinary shares not represented by the ADSs.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our shareholders holding 5% or more of our ordinary shares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then outstanding ordinary shares, in the form of ADSs or otherwise, which will equal approximately 52,071,428 ordinary shares immediately after this offering;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trading volume of our ordinary shares in the form of ADSs or otherwise, on the Nasdaq Capital Market, during the four calendar weeks preceding the date on which notice of the sale is filed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701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7"/>
      <w:bookmarkEnd w:id="23"/>
      <w:r>
        <w:rPr>
          <w:rFonts w:ascii="Times New Roman PS Std;serif" w:hAnsi="Times New Roman PS Std;serif"/>
          <w:b/>
          <w:i w:val="false"/>
          <w:caps w:val="false"/>
          <w:smallCaps w:val="false"/>
          <w:sz w:val="20"/>
        </w:rPr>
        <w:t>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 Taxation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Singapore Taxation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is not intended to be or to be regarded as tax advice to any investors, and investors should consult their own professional tax advisors regarding the Singapore tax matters.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Corporate Income Tax</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company is regarded as a tax resident in Singapore if the control and management of its business is exercised in Singapore. “Control and management” is defined as the making of decisions on strategic matters, such as those concerning the company’s policy and strategy. Generally, the location of a company’s board of directors’ meetings where strategic decisions are made determines where the control and management of that company is exercised. However, under certain scenarios, holding board meetings in Singapore may not be sufficient and other factors will be considered to determine if the control and management of the business is indeed exercised in Singapore.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Singapore tax resident corporate taxpayer is subject to Singapore income tax on:</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income accruing in or derived from Singapore; or</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income derived from outside Singapore (i.e. foreign-sourced income) which is received or deemed received in Singapore, unless otherwise exempted. A non-Singapore tax resident corporate taxpayer is liable to Singapore income tax on income accruing in or derived from Singapore.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non-Singapore tax resident corporate taxpayer is also liable to Singapore income tax on income derived from outside Singapore which is received or deemed to have been received in Singapore but generally only where such taxpayer is considered to be operating in or from Singapore.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Foreign-sourced income is deemed to be received in Singapore when it is:</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remitted to, transmitted or brought into Singapore;</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used to pay off any debt incurred in respect of a trade or business carried on in Singapore; or</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used to purchase any movable property brought into Singapore.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Foreign-sourced income in the form of branch profits, dividends and service fee income (“specified foreign income”) received or deemed received in Singapore by a Singapore tax resident company are exempted from Singapore tax provided that the following qualifying conditions are met:</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such income is subject to tax of a similar character to income tax (by whatever name called) under the law of the territory from which such income is received;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Comptroller of Income Tax (the “Comptroller”) is satisfied that the tax exemption would be beneficial to the person resident in Singapore who is receiving or deemed to be receiving the specified foreign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prevailing corporate income tax rate in Singapore is 17.0% with the first S$200,000 of chargeable income of a company being partially exempt from tax as follows: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75.0% of the first S$10,000 of chargeable income;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50.0% of the next S$190,000 of chargeable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companies will also, subject to certain conditions and exceptions, be eligible for tax exemption for each of the company’s first three (3) years of assessment as follows: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75.0% of the first S$100,000 of chargeable income;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50.0% of the next S$100,000 of chargeable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remaining chargeable income (after the tax exemption scheme for new companies or the partial tax exemption scheme for companies) will be fully taxable at the prevailing corporate tax rate.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Singapore-tax resident companies are currently under the one-tier corporate tax system, or one-tier system.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dividends received in respect of the ordinary shares of a Singapore-tax resident company by either a resident or non-resident of Singapore are not subject to Singapore income tax (whether by withholding or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Gains on Disposal of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Times New Roman PS Std;serif" w:hAnsi="Times New Roman PS Std;serif"/>
          <w:b/>
          <w:i w:val="false"/>
          <w:caps w:val="false"/>
          <w:smallCaps w:val="false"/>
          <w:sz w:val="20"/>
        </w:rPr>
        <w:t>IRAS</w:t>
      </w:r>
      <w:r>
        <w:rPr>
          <w:rFonts w:ascii="Times New Roman PS Std;serif" w:hAnsi="Times New Roman PS Std;serif"/>
          <w:b w:val="false"/>
          <w:i w:val="false"/>
          <w:caps w:val="false"/>
          <w:smallCaps w:val="false"/>
          <w:sz w:val="20"/>
        </w:rPr>
        <w:t>”), are not taxable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specified exceptions, Section 13W of the Income Tax Act 1947 (“</w:t>
      </w:r>
      <w:r>
        <w:rPr>
          <w:rFonts w:ascii="Times New Roman PS Std;serif" w:hAnsi="Times New Roman PS Std;serif"/>
          <w:b/>
          <w:i w:val="false"/>
          <w:caps w:val="false"/>
          <w:smallCaps w:val="false"/>
          <w:sz w:val="20"/>
        </w:rPr>
        <w:t>SITA</w:t>
      </w:r>
      <w:r>
        <w:rPr>
          <w:rFonts w:ascii="Times New Roman PS Std;serif" w:hAnsi="Times New Roman PS Std;serif"/>
          <w:b w:val="false"/>
          <w:i w:val="false"/>
          <w:caps w:val="false"/>
          <w:smallCaps w:val="false"/>
          <w:sz w:val="20"/>
        </w:rPr>
        <w:t>”) provides for certainty on the non-taxability of gains derived by a corporate taxpayer from the disposal of ordinary shares during the period from June 1, 2012 to December 31, 2027 (both dates inclusive) where: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divesting company had legally and beneficially held a minimum shareholding of 20% of the ordinary shares of the company whose shares are being disposed;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divesting company had maintained the minimum 20% shareholding for a continuous period of at least 24 months immediately prior to the disposal.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exemption prescribed under Section 13W of the SITA is not applicable under the following scenarios: </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disposal(s) of shares the gains or profits of which are included as part of the income of an insurer company; </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the disposal of shares before 1 June 2022 in a company that is: </w:t>
      </w:r>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is in the business of trading Singapore immovable properties; or </w:t>
      </w:r>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principally carries on the activity of holding Singapore immovable properties, other than property development, where the shares are not listed on a stock exchange in Singapore or elsewhere; </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the disposal of shares on or after 1 June 2022 not listed on a stock exchange in Singapore or elsewhere, being shares in a company that the Comptroller is satisfied: </w:t>
      </w:r>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is in the business of trading immovable properties situated whether in Singapore or elsewhere; </w:t>
      </w:r>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principally carries on the activity of holding immovable properties situated whether in Singapore or elsewhere; or </w:t>
      </w:r>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(iii)   has undertaken property development on Singapore or elsewhere, except where: </w:t>
      </w:r>
    </w:p>
    <w:p>
      <w:pPr>
        <w:pStyle w:val="TextBody"/>
        <w:keepNext w:val="false"/>
        <w:pageBreakBefore w:val="false"/>
        <w:widowControl/>
        <w:pBdr/>
        <w:bidi w:val="0"/>
        <w:spacing w:before="14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immovable property developed is used by the company to carry on its trade or business (including the business of letting immovable properties), not being a business mentioned in sub-paragraph (i); and </w:t>
      </w:r>
    </w:p>
    <w:p>
      <w:pPr>
        <w:pStyle w:val="TextBody"/>
        <w:keepNext w:val="false"/>
        <w:pageBreakBefore w:val="false"/>
        <w:widowControl/>
        <w:pBdr/>
        <w:bidi w:val="0"/>
        <w:spacing w:before="14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the company did not undertake any property development in Singapore or elsewhere for a period of at least 60 consecutive months before the disposal of shares; or </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disposal(s) of shares by a partnership, limited partnership and limited liability partnership one or more of the partners of which is a company or are companies.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who apply, or who are required to apply, the Singapore Financial Reporting Standard 39 —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who may be subject to the above-mentioned tax treatments, including under Sections 34A or 34AA of the SITA, should consult their accounting and tax advisers regarding the Singapore income tax consequences of their acquisition, holding and disposal of the shares.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 Federal Income 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financial institutions;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 or dealers in stocks and securities, or currencies;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are required to use a mark-to-market method of accounting;</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former citizens or residents of the United States subject to Section 877 of the Code;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entities subject to the United States anti-inversion rules;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organizations and entities;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the alternative minimum tax provisions of the Code;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functional currency is other than the United States dollar;</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ADSs or ordinary shares as part of a straddle, hedging, conversion or integrated transaction;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ADSs or ordinary shares through a bank, financial institution or other entity, or a branch thereof, located, organized or resident outside the United States;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actually or constructively own 10% or more of the total combined voting power of all classes of our voting stock;</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acquired ADSs or ordinary shares pursuant to the exercise of an employee stock option or otherwise as compensation; or</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or other pass-through entities, or persons holding ADSs or ordinary shares through such entities.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tax laws, including the federal estate or gift tax laws, or the laws of any state, local or non-United</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States taxing jurisdiction and under any applicable tax treaty.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discussion below, a “United States Holder” is a beneficial owner of our ADSs or ordinary shares that is, for United States federal income tax purposes: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United States federal income tax purposes) created or organized in or under the laws of the United States, any state thereof or the District of Columbia;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United States federal income taxation regardless of its source;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below assumes that the representations contained in the deposit agreement and any related agreement is true and that the obligations in such agreements will be complied with in accordance with their terms.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 (iii) certain holding period requirements are met. We intend to list the ADSs on the Nasdaq Capital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 or Other Disposition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excess distribution or gain will be allocated ratably over the U.S. Holder’s holding period for the ADSs or ordinary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Capital Market. We anticipate that our ADSs should qualify as being regularly traded, but no assurances may be given in this regard.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6"/>
      <w:bookmarkEnd w:id="24"/>
      <w:r>
        <w:rPr>
          <w:rFonts w:ascii="Times New Roman PS Std;serif" w:hAnsi="Times New Roman PS Std;serif"/>
          <w:b/>
          <w:i w:val="false"/>
          <w:caps w:val="false"/>
          <w:smallCaps w:val="false"/>
          <w:sz w:val="20"/>
        </w:rPr>
        <w:t>UNDERWRITING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enter into an underwriting agreement with Eddid Securities USA, Inc., or the “</w:t>
      </w:r>
      <w:r>
        <w:rPr>
          <w:rFonts w:ascii="Times New Roman PS Std;serif" w:hAnsi="Times New Roman PS Std;serif"/>
          <w:b/>
          <w:i w:val="false"/>
          <w:caps w:val="false"/>
          <w:smallCaps w:val="false"/>
          <w:sz w:val="20"/>
        </w:rPr>
        <w:t>Underwriter</w:t>
      </w:r>
      <w:r>
        <w:rPr>
          <w:rFonts w:ascii="Times New Roman PS Std;serif" w:hAnsi="Times New Roman PS Std;serif"/>
          <w:b w:val="false"/>
          <w:i w:val="false"/>
          <w:caps w:val="false"/>
          <w:smallCaps w:val="false"/>
          <w:sz w:val="20"/>
        </w:rPr>
        <w:t>.” The Underwriter has agreed to purchase, and we have agreed to sell to it, the number of our ADSs at the initial public offering price, less the underwriting discounts and commissions, as set forth on the cover page of this prospectus and as indicated below:</w:t>
      </w:r>
    </w:p>
    <w:tbl>
      <w:tblPr>
        <w:tblW w:w="4048" w:type="dxa"/>
        <w:jc w:val="left"/>
        <w:tblInd w:w="0" w:type="dxa"/>
        <w:tblLayout w:type="fixed"/>
        <w:tblCellMar>
          <w:top w:w="0" w:type="dxa"/>
          <w:left w:w="0" w:type="dxa"/>
          <w:bottom w:w="0" w:type="dxa"/>
          <w:right w:w="0" w:type="dxa"/>
        </w:tblCellMar>
      </w:tblPr>
      <w:tblGrid>
        <w:gridCol w:w="2611"/>
        <w:gridCol w:w="146"/>
        <w:gridCol w:w="1291"/>
      </w:tblGrid>
      <w:tr>
        <w:trPr/>
        <w:tc>
          <w:tcPr>
            <w:tcW w:w="26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Underwriter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ADSs</w:t>
            </w:r>
          </w:p>
        </w:tc>
      </w:tr>
      <w:tr>
        <w:trPr/>
        <w:tc>
          <w:tcPr>
            <w:tcW w:w="2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Eddid Securities USA, Inc.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2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Underwriter is offering the ADSs subject to its acceptance of the ADSs from us and subject to prior sale. The underwriting agreement provides that the obligations of the Underwriter to pay for and accept delivery of the ADSs offered by this prospectus are subject to the approval of certain legal matters by its counsel and to other conditions. The Underwriter is obligated to take and pay for all of the ADSs offered by this prospectus if any such ADSs are taken.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Discounts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underwriting discounts and commissions are equal to six percent (6%) of the gross proceeds of the securities being offered from investors introduced by the Underwriter, and a gross discount equal to three percent (3%) of gross proceeds (or in cash in the equivalent amount) of the securities being offered from investors introduced by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shows the per ADS and total initial public offering price, underwriting discounts and commissions, and proceeds before expenses to us. </w:t>
      </w:r>
    </w:p>
    <w:tbl>
      <w:tblPr>
        <w:tblW w:w="8110" w:type="dxa"/>
        <w:jc w:val="left"/>
        <w:tblInd w:w="0" w:type="dxa"/>
        <w:tblLayout w:type="fixed"/>
        <w:tblCellMar>
          <w:top w:w="0" w:type="dxa"/>
          <w:left w:w="0" w:type="dxa"/>
          <w:bottom w:w="0" w:type="dxa"/>
          <w:right w:w="0" w:type="dxa"/>
        </w:tblCellMar>
      </w:tblPr>
      <w:tblGrid>
        <w:gridCol w:w="5761"/>
        <w:gridCol w:w="146"/>
        <w:gridCol w:w="1396"/>
        <w:gridCol w:w="146"/>
        <w:gridCol w:w="661"/>
      </w:tblGrid>
      <w:tr>
        <w:trPr/>
        <w:tc>
          <w:tcPr>
            <w:tcW w:w="57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ADS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discounts and commissions to be paid by us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us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also pay to the Underwriter by deduction from the net proceeds of this offering, a non-accountable expense allowance equal to one percent (1%) of the gross proceeds received by us from the sale of 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reimburse the Underwriter for its reasonable out-of-pocket accountable expenses (including but not limited to reasonable and documented travel costs, legal fees, due diligence fees, and other expenses and disbursements, incurred in connection with its services for the purpose of the offering regardless of whether the offering is successfully closed) up to a maximum of US$250,000 for out-of-pocket accountable expenses. In addition, we have agreed to pay to the Underwriter upon closing of this offering a non-accountable expense allowance equal to one percent (1%) of the gross proceeds derived from the sale of the ADSs in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 final prospectuses as the Underwriter may reasonably request; (ii) the costs of preparing, printing and delivering exhibits thereto, in such quantities as Underwriter may reasonably request; (iii) all fees, expenses and disbursements relating to the registration, qualification or exemption of securities offered under the securities laws of foreign jurisdictions designated by Underwriter; (iv) the fees of counsel(s) and accountants for the Company, including fees associated with any blue sky filings where applicable; (v) fees associated with the Company’s transfer agent; and (vi) fees, if necessary, associated with translation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total expenses of the offering payable by us, excluding the underwriting discounts and commissions and non-accountable expense allowance, will be approximately US$[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indemnify the Underwriter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officers, directors and shareholders holding 5% or more of our ordinary shares have agreed, subject to certain exceptions, to a six month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 This means that, for a period of six months following the closing of the offering, such persons may not offer, sell, pledge or otherwise dispose of these securities without the prior written consent of the Underwriter.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has no present intention to waive or shorten the lock-up period; however, the terms of the lock-up agreements may be waived at its discretion. In determining whether to waive the terms of the lock-up agreements, the Underwriter may base its decision on its assessment of the relative strengths of the securities markets and companies similar to ours in general, and the trading pattern of, and demand for, our securities in general.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Pricing of 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our ADS or our ordinary shares. The initial public offering price of the shares has been negotiated between us and the Underwriter.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Electronic Offer, Sale and Distribution of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in electronic format may be made available on the websites maintained by the Underwriter or selling group members, if any, participating in this offering and the Underwriter may distribute prospectuses electronically. The Underwriter may agree to allocate a number of ADSs to selling group members for sale to their online brokerage account holders. The ADSs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and should not be relied upon by investors.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Price Stabilization, Short Positions and Penalty Bids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offering, the Underwriter may engage in transactions that stabilize, maintain or otherwise affect the price of our ADSs. Specifically, the Underwriter may sell more shares than they are obligated to purchase under the underwriting agreement, creating a short position. The Underwriter can close out a covered short sale by purchasing shares in the open market. The Underwriter must close out any naked short position by purchasing shares in the open market. A naked short position is more likely to be created if the Underwriter is concerned that there may be downward pressure on the price of the shares in the open market after pricing that could adversely affect investors who purchase in 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Finally, the Underwriter may bid for, and purchase, our ADSs in market making transactions, including “passive” market making transactions as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activities may stabilize or maintain the market price of our ADSs at a price that is higher than the price that might otherwise exist in the absence of these activities. The Underwriter is not required to engage in these activities, and may discontinue any of these activities at any time without notice. These transactions may be effected on the Nasdaq Capital Market, in the over-the-counter market, or otherwise.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Passive Market Making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offering, the Underwriter may engage in passive market making transactions in our ADSs on the Nasdaq Capital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Conflicts of Interest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and its affiliates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Relationships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is a full service financial institution engaged in various activities, which may include the sales and trading of securities, commercial and investment banking, advisory, investment management, investment research, principal investment, hedging, market making, financing, brokerage and other financial and non-financial activities and services. The Underwriter may in the future perform a variety of such activities and services for us and for persons or entities with relationships with us for which they received or will receive customary fees, commissions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ordinary course of their business activities, the Underwriter, its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investments and securities activities may involve assets, securities and/or instruments of ours or our affiliates. The Underwriter and its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Restrictions outside the United States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Australia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Act. No product disclosure statement, prospectus, disclosure document, offering material or advertisement in relation to the offer of the ADSs has been or will be lodged with the Australian Securities and Investments Commission or the Australian Securities Exchange.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(1) the offer of the ADSs under this prospectus may only be made to persons: (i) to whom it is lawful to offer the ADSs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ADSs sold to the offeree within 12 months after their issue except as otherwise permitted under the Act.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Canada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United Kingdom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Malaysia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ADSs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2001 of Singapore (the “SFA”), (ii) to a relevant person pursuant to Section 275(1), or any person pursuant to Section 275(1A), and in accordance with the conditions specified in Sections 275 and 276 of the SFA or (iii) otherwise pursuant to, and in accordance with the conditions of, any other applicable provision of the SFA, in each case subject to compliance with conditions set forth in the SFA.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ADSs are subscribed or purchased under Section 275 of the SFA by a relevant person which 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(which is not an accredited investor (as defined in Section 4A of the SFA)) the sole business of which is to hold investments and the entire share capital of which is owned by one or more individuals, each of whom is an accredited investor;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(where the trustee is not an accredited investor) whose sole purpose is to hold investments and each beneficiary of the trust is an individual who is an accredited investor,</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an institutional investor or to a relevant person defined in Section 275(2) of the SFA, or to any person arising from an offer referred to in Section 275(1A) or (in the case of such trust) where the transfer arises from an offer referred to in Section 276(4)(c)(ii) of the SFA;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where no consideration is or will be given for the transfer;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where the transfer is by operation of law;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specified in Section 276(7) of the SFA;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specified in Regulation 37A of the Securities and Futures (Offers of Investments) (Securities and Securities-based Derivatives Contracts) Regulations 2018.</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Singapore SFA Product Classification:</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In accordance with Section 309B of the SFA, the Company has determined, and hereby notifies all relevant persons (as defined under Section 309A(1) of the SFA), that the ADSs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are prescribed capital markets products (as defined in the Securities and Futures (Capital Market Products) Regulations 2018 of Singapore) and Excluded Investment Products (as defined in MAS Notice SFA 04-N12: Notice on the Sale of Investment Products and MAS Notice FAA-N16: Notice on Recommendations on Investment Products)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Purchasers are advised to seek legal advice prior to any resale of the securities.</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People’s Republic of China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not be circulated or distributed in China and the ADSs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Hong Kong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ADSs be issued or 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Taiwan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Indonesia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Vietnam</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Thailand</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Korea</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Japan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New Zealand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 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an “investment business” within the meaning of clause 37 of Schedule 1 of the FMCA;</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meets the “investment activity criteria” specified in clause 38 of Schedule 1 of the FMCA;</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“large” within the meaning of clause 39 of Schedule 1 of the FMCA; or</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a “government agency” within the meaning of clause 40 of Schedule 1 of the FMCA. The Securities are not being offered or sold to retail investors in New Zealand.</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European Economic Area</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Cayman Islands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offer or invitation, whether directly or indirectly, may be made to the public in the Cayman Islands to subscribe for our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5"/>
      <w:bookmarkEnd w:id="25"/>
      <w:r>
        <w:rPr>
          <w:rFonts w:ascii="Times New Roman PS Std;serif" w:hAnsi="Times New Roman PS Std;serif"/>
          <w:b/>
          <w:i w:val="false"/>
          <w:caps w:val="false"/>
          <w:smallCaps w:val="false"/>
          <w:sz w:val="20"/>
        </w:rPr>
        <w:t>EXPENSES RELATED TO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application and listing fee, all amounts are estimates.</w:t>
      </w:r>
    </w:p>
    <w:tbl>
      <w:tblPr>
        <w:tblW w:w="6358" w:type="dxa"/>
        <w:jc w:val="left"/>
        <w:tblInd w:w="0" w:type="dxa"/>
        <w:tblLayout w:type="fixed"/>
        <w:tblCellMar>
          <w:top w:w="0" w:type="dxa"/>
          <w:left w:w="0" w:type="dxa"/>
          <w:bottom w:w="0" w:type="dxa"/>
          <w:right w:w="0" w:type="dxa"/>
        </w:tblCellMar>
      </w:tblPr>
      <w:tblGrid>
        <w:gridCol w:w="4351"/>
        <w:gridCol w:w="146"/>
        <w:gridCol w:w="1861"/>
      </w:tblGrid>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7,380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Filing Fee</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8,000</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Exchange Application and Listing Fee</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75,000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and Engraving Expenses</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30,000</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1,220,000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400,000</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580,000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8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US$</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2,320,380</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4"/>
      <w:bookmarkEnd w:id="26"/>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Hogan Lovells is representing us with respect to certain legal matters as to the United States federal and New York State law. Sichenzia Ross Ference Carmel LLP is representing the underwriters with respect to certain legal matters as to the United States federal and New York State law. The validity of the ordinary shares represented by the ADSs offered in this offering and Maples and Calder (Hong Kong) LLP will pass upon other certain legal matters as to Cayman Islands law for us. Resource Law LLC (in alliance with Reed Smith) will pass upon certain legal matters as to Singapore law for us. Hogan Lovells and Sichenzia Ross Ference Carmel LLP may rely upon Maples and Calder (Hong Kong) LLP with respect to matters governed by Cayman Islands law and Resource Law LLC (in alliance with Reed Smith) with respect to matters governed by the Singapore law.</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3"/>
      <w:bookmarkEnd w:id="27"/>
      <w:r>
        <w:rPr>
          <w:rFonts w:ascii="Times New Roman PS Std;serif" w:hAnsi="Times New Roman PS Std;serif"/>
          <w:b/>
          <w:i w:val="false"/>
          <w:caps w:val="false"/>
          <w:smallCaps w:val="false"/>
          <w:sz w:val="20"/>
        </w:rPr>
        <w:t>EXPERTS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as of December 31, 2021 and 2022, and for each of the two years in the period ended December 31, 2022,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office of Marcum Asia CPAs LLP is located at 7 Pennsylvania Plaza Suite 830, New York, NY 10001, United States.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2"/>
      <w:bookmarkEnd w:id="28"/>
      <w:r>
        <w:rPr>
          <w:rFonts w:ascii="Times New Roman PS Std;serif" w:hAnsi="Times New Roman PS Std;serif"/>
          <w:b/>
          <w:i w:val="false"/>
          <w:caps w:val="false"/>
          <w:smallCaps w:val="false"/>
          <w:sz w:val="20"/>
        </w:rPr>
        <w:t>WHERE YOU CAN FIND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or inspected and copied at the public reference facilities maintained by the SEC at 100 F Street, N.E., Washington, D.C. 20549. You can request copies of documents, upon payment of a duplicating fee, by writing to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1"/>
      <w:bookmarkEnd w:id="29"/>
      <w:r>
        <w:rPr>
          <w:rFonts w:ascii="Times New Roman PS Std;serif" w:hAnsi="Times New Roman PS Std;serif"/>
          <w:b/>
          <w:i w:val="false"/>
          <w:caps w:val="false"/>
          <w:smallCaps w:val="false"/>
          <w:sz w:val="20"/>
        </w:rPr>
        <w:t>TRIDENT DIGITAL TECH HOLDINGS LTD</w:t>
        <w:br/>
        <w:t>INDEX TO CONSOLIDATED FINANCIAL STATEMENTS</w:t>
      </w:r>
    </w:p>
    <w:tbl>
      <w:tblPr>
        <w:tblW w:w="10205" w:type="dxa"/>
        <w:jc w:val="left"/>
        <w:tblInd w:w="0" w:type="dxa"/>
        <w:tblLayout w:type="fixed"/>
        <w:tblCellMar>
          <w:top w:w="0" w:type="dxa"/>
          <w:left w:w="0" w:type="dxa"/>
          <w:bottom w:w="0" w:type="dxa"/>
          <w:right w:w="0" w:type="dxa"/>
        </w:tblCellMar>
      </w:tblPr>
      <w:tblGrid>
        <w:gridCol w:w="9185"/>
        <w:gridCol w:w="146"/>
        <w:gridCol w:w="874"/>
      </w:tblGrid>
      <w:tr>
        <w:trPr/>
        <w:tc>
          <w:tcPr>
            <w:tcW w:w="918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PAGE(S)</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FINANCIAL STATEMENTS FOR THE YEARS ENDED DECEMBER 31, 2022 AND 2021</w:t>
            </w:r>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left"/>
              <w:rPr/>
            </w:pPr>
            <w:r>
              <w:rPr/>
              <w:t> </w:t>
            </w:r>
          </w:p>
        </w:tc>
      </w:tr>
      <w:tr>
        <w:trPr/>
        <w:tc>
          <w:tcPr>
            <w:tcW w:w="9185" w:type="dxa"/>
            <w:tcBorders/>
            <w:vAlign w:val="bottom"/>
          </w:tcPr>
          <w:p>
            <w:pPr>
              <w:pStyle w:val="TableContents"/>
              <w:keepNext w:val="false"/>
              <w:widowControl/>
              <w:pBdr/>
              <w:bidi w:val="0"/>
              <w:spacing w:before="0" w:after="283"/>
              <w:ind w:left="200" w:right="0" w:hanging="200"/>
              <w:jc w:val="left"/>
              <w:rPr/>
            </w:pPr>
            <w:hyperlink w:anchor="T701">
              <w:r>
                <w:rPr>
                  <w:rStyle w:val="InternetLink"/>
                  <w:rFonts w:ascii="Times New Roman PS Std;serif" w:hAnsi="Times New Roman PS Std;serif"/>
                  <w:b w:val="false"/>
                  <w:i w:val="false"/>
                  <w:caps w:val="false"/>
                  <w:smallCaps w:val="false"/>
                  <w:sz w:val="20"/>
                </w:rPr>
                <w:t>REPORT OF INDEPENDENT REGISTERED PUBLIC ACCOUNTING FIRM (PCAOB ID: 5395)</w:t>
              </w:r>
            </w:hyperlink>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pPr>
            <w:hyperlink w:anchor="T702">
              <w:r>
                <w:rPr>
                  <w:rStyle w:val="InternetLink"/>
                  <w:rFonts w:ascii="Times New Roman PS Std;serif" w:hAnsi="Times New Roman PS Std;serif"/>
                  <w:b w:val="false"/>
                  <w:i w:val="false"/>
                  <w:caps w:val="false"/>
                  <w:smallCaps w:val="false"/>
                  <w:sz w:val="20"/>
                </w:rPr>
                <w:t>CONSOLIDATED BALANCE SHEETS AS OF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185" w:type="dxa"/>
            <w:tcBorders/>
            <w:vAlign w:val="bottom"/>
          </w:tcPr>
          <w:p>
            <w:pPr>
              <w:pStyle w:val="TableContents"/>
              <w:keepNext w:val="false"/>
              <w:widowControl/>
              <w:pBdr/>
              <w:bidi w:val="0"/>
              <w:spacing w:before="0" w:after="283"/>
              <w:ind w:left="200" w:right="0" w:hanging="200"/>
              <w:jc w:val="left"/>
              <w:rPr/>
            </w:pPr>
            <w:hyperlink w:anchor="T703">
              <w:r>
                <w:rPr>
                  <w:rStyle w:val="InternetLink"/>
                  <w:rFonts w:ascii="Times New Roman PS Std;serif" w:hAnsi="Times New Roman PS Std;serif"/>
                  <w:b w:val="false"/>
                  <w:i w:val="false"/>
                  <w:caps w:val="false"/>
                  <w:smallCaps w:val="false"/>
                  <w:sz w:val="20"/>
                </w:rPr>
                <w:t>CONSOLIDATED STATEMENTS OF OPERATIONS AND COMPREHENSIVE (LOSS)/INCOME FOR THE YEARS ENDED DECEMBER 31, 2022 AND 2021</w:t>
              </w:r>
            </w:hyperlink>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pPr>
            <w:hyperlink w:anchor="T704">
              <w:r>
                <w:rPr>
                  <w:rStyle w:val="InternetLink"/>
                  <w:rFonts w:ascii="Times New Roman PS Std;serif" w:hAnsi="Times New Roman PS Std;serif"/>
                  <w:b w:val="false"/>
                  <w:i w:val="false"/>
                  <w:caps w:val="false"/>
                  <w:smallCaps w:val="false"/>
                  <w:sz w:val="20"/>
                </w:rPr>
                <w:t>CONSOLIDATED STATEMENTS OF CHANGES IN EQUITY/(DEFICIT) FOR THE YEARS ENDED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185" w:type="dxa"/>
            <w:tcBorders/>
            <w:vAlign w:val="bottom"/>
          </w:tcPr>
          <w:p>
            <w:pPr>
              <w:pStyle w:val="TableContents"/>
              <w:keepNext w:val="false"/>
              <w:widowControl/>
              <w:pBdr/>
              <w:bidi w:val="0"/>
              <w:spacing w:before="0" w:after="283"/>
              <w:ind w:left="200" w:right="0" w:hanging="200"/>
              <w:jc w:val="left"/>
              <w:rPr/>
            </w:pPr>
            <w:hyperlink w:anchor="T705">
              <w:r>
                <w:rPr>
                  <w:rStyle w:val="InternetLink"/>
                  <w:rFonts w:ascii="Times New Roman PS Std;serif" w:hAnsi="Times New Roman PS Std;serif"/>
                  <w:b w:val="false"/>
                  <w:i w:val="false"/>
                  <w:caps w:val="false"/>
                  <w:smallCaps w:val="false"/>
                  <w:sz w:val="20"/>
                </w:rPr>
                <w:t>CONSOLIDATED STATEMENTS OF CASH FLOWS FOR THE YEARS ENDED DECEMBER 31, 2022 AND 2021</w:t>
              </w:r>
            </w:hyperlink>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pPr>
            <w:hyperlink w:anchor="T706">
              <w:r>
                <w:rPr>
                  <w:rStyle w:val="InternetLink"/>
                  <w:rFonts w:ascii="Times New Roman PS Std;serif" w:hAnsi="Times New Roman PS Std;serif"/>
                  <w:b w:val="false"/>
                  <w:i w:val="false"/>
                  <w:caps w:val="false"/>
                  <w:smallCaps w:val="false"/>
                  <w:sz w:val="20"/>
                </w:rPr>
                <w:t>NOTES TO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w:t>
            </w:r>
          </w:p>
        </w:tc>
      </w:tr>
      <w:tr>
        <w:trPr/>
        <w:tc>
          <w:tcPr>
            <w:tcW w:w="91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left"/>
              <w:rPr/>
            </w:pPr>
            <w:r>
              <w:rPr/>
              <w:t> </w:t>
            </w:r>
          </w:p>
        </w:tc>
      </w:tr>
      <w:tr>
        <w:trPr/>
        <w:tc>
          <w:tcPr>
            <w:tcW w:w="91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PAGE(S)</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pPr>
            <w:hyperlink w:anchor="T5002">
              <w:r>
                <w:rPr>
                  <w:rStyle w:val="InternetLink"/>
                  <w:rFonts w:ascii="Times New Roman PS Std;serif" w:hAnsi="Times New Roman PS Std;serif"/>
                  <w:b w:val="false"/>
                  <w:i w:val="false"/>
                  <w:caps w:val="false"/>
                  <w:smallCaps w:val="false"/>
                  <w:sz w:val="20"/>
                </w:rPr>
                <w:t>UNAUDITED CONDENSED CONSOLIDATED BALANCE SHEETS AS OF JUNE 30, 2023 AND DECEMBER 31, 2022</w:t>
              </w:r>
            </w:hyperlink>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F-23</w:t>
            </w:r>
          </w:p>
        </w:tc>
      </w:tr>
      <w:tr>
        <w:trPr/>
        <w:tc>
          <w:tcPr>
            <w:tcW w:w="9185" w:type="dxa"/>
            <w:tcBorders/>
            <w:vAlign w:val="bottom"/>
          </w:tcPr>
          <w:p>
            <w:pPr>
              <w:pStyle w:val="TableContents"/>
              <w:keepNext w:val="false"/>
              <w:widowControl/>
              <w:pBdr/>
              <w:bidi w:val="0"/>
              <w:spacing w:before="0" w:after="283"/>
              <w:ind w:left="200" w:right="0" w:hanging="200"/>
              <w:jc w:val="left"/>
              <w:rPr/>
            </w:pPr>
            <w:hyperlink w:anchor="T5003">
              <w:r>
                <w:rPr>
                  <w:rStyle w:val="InternetLink"/>
                  <w:rFonts w:ascii="Times New Roman PS Std;serif" w:hAnsi="Times New Roman PS Std;serif"/>
                  <w:b w:val="false"/>
                  <w:i w:val="false"/>
                  <w:caps w:val="false"/>
                  <w:smallCaps w:val="false"/>
                  <w:sz w:val="20"/>
                </w:rPr>
                <w:t>UNAUDITED CONDENSED CONSOLIDATED STATEMENTS OF OPERATIONS AND COMPREHENSIVE (LOSS)/INCOME FOR THE SIX MONTHS ENDED JUNE 30, 2023 AND 2022</w:t>
              </w:r>
            </w:hyperlink>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F-24</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pPr>
            <w:hyperlink w:anchor="T5004">
              <w:r>
                <w:rPr>
                  <w:rStyle w:val="InternetLink"/>
                  <w:rFonts w:ascii="Times New Roman PS Std;serif" w:hAnsi="Times New Roman PS Std;serif"/>
                  <w:b w:val="false"/>
                  <w:i w:val="false"/>
                  <w:caps w:val="false"/>
                  <w:smallCaps w:val="false"/>
                  <w:sz w:val="20"/>
                </w:rPr>
                <w:t>UNAUDITED CONDENSED CONSOLIDATED STATEMENTS OF CHANGES IN EQUITY/(DEFICIT) FOR THE SIX MONTHS ENDED JUNE 30, 2023 AND 2022</w:t>
              </w:r>
            </w:hyperlink>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F-25</w:t>
            </w:r>
          </w:p>
        </w:tc>
      </w:tr>
      <w:tr>
        <w:trPr/>
        <w:tc>
          <w:tcPr>
            <w:tcW w:w="9185" w:type="dxa"/>
            <w:tcBorders/>
            <w:vAlign w:val="bottom"/>
          </w:tcPr>
          <w:p>
            <w:pPr>
              <w:pStyle w:val="TableContents"/>
              <w:keepNext w:val="false"/>
              <w:widowControl/>
              <w:pBdr/>
              <w:bidi w:val="0"/>
              <w:spacing w:before="0" w:after="283"/>
              <w:ind w:left="200" w:right="0" w:hanging="200"/>
              <w:jc w:val="left"/>
              <w:rPr/>
            </w:pPr>
            <w:hyperlink w:anchor="T5005">
              <w:r>
                <w:rPr>
                  <w:rStyle w:val="InternetLink"/>
                  <w:rFonts w:ascii="Times New Roman PS Std;serif" w:hAnsi="Times New Roman PS Std;serif"/>
                  <w:b w:val="false"/>
                  <w:i w:val="false"/>
                  <w:caps w:val="false"/>
                  <w:smallCaps w:val="false"/>
                  <w:sz w:val="20"/>
                </w:rPr>
                <w:t>UNAUDITED CONDENSED CONSOLIDATED STATEMENTS OF CASH FLOWS FOR THE SIX MONTHS ENDED JUNE 30, 2023 AND 2022</w:t>
              </w:r>
            </w:hyperlink>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F-26</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pPr>
            <w:hyperlink w:anchor="T5006">
              <w:r>
                <w:rPr>
                  <w:rStyle w:val="InternetLink"/>
                  <w:rFonts w:ascii="Times New Roman PS Std;serif" w:hAnsi="Times New Roman PS Std;serif"/>
                  <w:b w:val="false"/>
                  <w:i w:val="false"/>
                  <w:caps w:val="false"/>
                  <w:smallCaps w:val="false"/>
                  <w:sz w:val="20"/>
                </w:rPr>
                <w:t>NOTES TO UNAUDITED CONDENSED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F-27</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701"/>
      <w:bookmarkEnd w:id="30"/>
      <w:r>
        <w:rPr>
          <w:rFonts w:ascii="Times New Roman PS Std;serif" w:hAnsi="Times New Roman PS Std;serif"/>
          <w:b/>
          <w:i w:val="false"/>
          <w:caps w:val="false"/>
          <w:smallCaps w:val="false"/>
          <w:sz w:val="20"/>
        </w:rPr>
        <w:t>REPORT OF INDEPENDENT REGISTERED PUBLIC ACCOUNTING FIRM</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Board of Directors of Trident Digital Tech Holdings Ltd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Trident Digital Tech Holdings Ltd (the “Company”) as of December 31, 2022 and 2021, the related consolidated statements of operations and comprehensive (loss)/income, changes in equity/(deficit)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PS Std;serif" w:hAnsi="Times New Roman PS Std;serif"/>
          <w:b/>
          <w:i w:val="false"/>
          <w:caps w:val="false"/>
          <w:smallCaps w:val="false"/>
          <w:sz w:val="20"/>
        </w:rPr>
        <w:t>s</w:t>
      </w:r>
      <w:r>
        <w:rPr>
          <w:rFonts w:ascii="Times New Roman PS Std;serif" w:hAnsi="Times New Roman PS Std;serif"/>
          <w:b w:val="false"/>
          <w:i w:val="false"/>
          <w:caps w:val="false"/>
          <w:smallCaps w:val="false"/>
          <w:sz w:val="20"/>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Marcum Asia CPAs LLP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2023.</w:t>
      </w:r>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Beijing, China</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7,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702"/>
      <w:bookmarkEnd w:id="31"/>
      <w:r>
        <w:rPr>
          <w:rFonts w:ascii="Times New Roman PS Std;serif" w:hAnsi="Times New Roman PS Std;serif"/>
          <w:b/>
          <w:i w:val="false"/>
          <w:caps w:val="false"/>
          <w:smallCaps w:val="false"/>
          <w:sz w:val="20"/>
        </w:rPr>
        <w:t>TRIDENT DIGITAL TECH HOLDINGS LTD</w:t>
        <w:br/>
        <w:t>CONSOLIDATED BALANCE SHEETS</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727"/>
        <w:gridCol w:w="146"/>
        <w:gridCol w:w="241"/>
        <w:gridCol w:w="1291"/>
        <w:gridCol w:w="196"/>
        <w:gridCol w:w="146"/>
        <w:gridCol w:w="241"/>
        <w:gridCol w:w="991"/>
        <w:gridCol w:w="226"/>
      </w:tblGrid>
      <w:tr>
        <w:trPr/>
        <w:tc>
          <w:tcPr>
            <w:tcW w:w="672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422,242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106,718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47,659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1,494,082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1,600,800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84,209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borrowings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135,360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218,225</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51,867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654,063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192,935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due to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526,263</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a shareholder</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303,730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54,678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current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24,215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payable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424,656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498,572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34,340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1,190,287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1,688,859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46,676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471,332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(par value $0.00001 per share; 1,000,000,000 Class A ordinary shares authorized, 50,000,000 and 50,000,000 Class A ordinary shares issued and outstanding as of December 31, 2022 and 2021, respectively; 4,000,000,000 Class B ordinary shares authorized, 360,205,000 and 360,205,000 Class B ordinary shares issued and outstanding as of December 31, 2022 and 2021, respectively.)*</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receivable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(deficit)/earnings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(1,323,341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35,349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(37,788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703"/>
      <w:bookmarkEnd w:id="32"/>
      <w:r>
        <w:rPr>
          <w:rFonts w:ascii="Times New Roman PS Std;serif" w:hAnsi="Times New Roman PS Std;serif"/>
          <w:b/>
          <w:i w:val="false"/>
          <w:caps w:val="false"/>
          <w:smallCaps w:val="false"/>
          <w:sz w:val="20"/>
        </w:rPr>
        <w:t>TRIDENT DIGITAL TECH HOLDINGS LTD</w:t>
        <w:br/>
        <w:t>CONSOLIDATED STATEMENTS OF OPERATIONS AND COMPREHENSIVE (LOSS)/INCOME</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382"/>
        <w:gridCol w:w="146"/>
        <w:gridCol w:w="241"/>
        <w:gridCol w:w="1306"/>
        <w:gridCol w:w="196"/>
        <w:gridCol w:w="146"/>
        <w:gridCol w:w="241"/>
        <w:gridCol w:w="1306"/>
        <w:gridCol w:w="241"/>
      </w:tblGrid>
      <w:tr>
        <w:trPr/>
        <w:tc>
          <w:tcPr>
            <w:tcW w:w="63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156,220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155,475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before income tax expense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29,661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704"/>
      <w:bookmarkEnd w:id="33"/>
      <w:r>
        <w:rPr>
          <w:rFonts w:ascii="Times New Roman PS Std;serif" w:hAnsi="Times New Roman PS Std;serif"/>
          <w:b/>
          <w:i w:val="false"/>
          <w:caps w:val="false"/>
          <w:smallCaps w:val="false"/>
          <w:sz w:val="20"/>
        </w:rPr>
        <w:t>TRIDENT DIGITAL TECH HOLDINGS LTD</w:t>
        <w:br/>
        <w:t>CONSOLIDATED STATEMENTS OF CHANGES IN EQUITY/(DEFICIT)</w:t>
        <w:br/>
        <w:t>(In U.S. dollars, except for share and per share data, or otherwise noted)</w:t>
      </w:r>
    </w:p>
    <w:tbl>
      <w:tblPr>
        <w:tblW w:w="12490" w:type="dxa"/>
        <w:jc w:val="left"/>
        <w:tblInd w:w="0" w:type="dxa"/>
        <w:tblLayout w:type="fixed"/>
        <w:tblCellMar>
          <w:top w:w="0" w:type="dxa"/>
          <w:left w:w="0" w:type="dxa"/>
          <w:bottom w:w="0" w:type="dxa"/>
          <w:right w:w="0" w:type="dxa"/>
        </w:tblCellMar>
      </w:tblPr>
      <w:tblGrid>
        <w:gridCol w:w="1526"/>
        <w:gridCol w:w="146"/>
        <w:gridCol w:w="1471"/>
        <w:gridCol w:w="146"/>
        <w:gridCol w:w="241"/>
        <w:gridCol w:w="721"/>
        <w:gridCol w:w="146"/>
        <w:gridCol w:w="1136"/>
        <w:gridCol w:w="275"/>
        <w:gridCol w:w="146"/>
        <w:gridCol w:w="253"/>
        <w:gridCol w:w="903"/>
        <w:gridCol w:w="146"/>
        <w:gridCol w:w="241"/>
        <w:gridCol w:w="1291"/>
        <w:gridCol w:w="196"/>
        <w:gridCol w:w="146"/>
        <w:gridCol w:w="251"/>
        <w:gridCol w:w="985"/>
        <w:gridCol w:w="205"/>
        <w:gridCol w:w="146"/>
        <w:gridCol w:w="241"/>
        <w:gridCol w:w="1291"/>
        <w:gridCol w:w="241"/>
      </w:tblGrid>
      <w:tr>
        <w:trPr/>
        <w:tc>
          <w:tcPr>
            <w:tcW w:w="1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7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Ordinary share</w:t>
            </w:r>
          </w:p>
        </w:tc>
        <w:tc>
          <w:tcPr>
            <w:tcW w:w="146" w:type="dxa"/>
            <w:tcBorders/>
            <w:vAlign w:val="bottom"/>
          </w:tcPr>
          <w:p>
            <w:pPr>
              <w:pStyle w:val="TableContents"/>
              <w:bidi w:val="0"/>
              <w:spacing w:before="0" w:after="283"/>
              <w:jc w:val="left"/>
              <w:rPr/>
            </w:pPr>
            <w:r>
              <w:rPr/>
              <w:t> </w:t>
            </w:r>
          </w:p>
        </w:tc>
        <w:tc>
          <w:tcPr>
            <w:tcW w:w="141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Subscription </w:t>
              <w:br/>
              <w:t>receivable</w:t>
            </w:r>
          </w:p>
        </w:tc>
        <w:tc>
          <w:tcPr>
            <w:tcW w:w="146" w:type="dxa"/>
            <w:vMerge w:val="restart"/>
            <w:tcBorders/>
            <w:vAlign w:val="bottom"/>
          </w:tcPr>
          <w:p>
            <w:pPr>
              <w:pStyle w:val="TableContents"/>
              <w:bidi w:val="0"/>
              <w:spacing w:before="0" w:after="283"/>
              <w:jc w:val="left"/>
              <w:rPr/>
            </w:pPr>
            <w:r>
              <w:rPr/>
              <w:t> </w:t>
            </w:r>
          </w:p>
        </w:tc>
        <w:tc>
          <w:tcPr>
            <w:tcW w:w="115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paid-in </w:t>
              <w:br/>
              <w:t>capita</w:t>
            </w:r>
          </w:p>
        </w:tc>
        <w:tc>
          <w:tcPr>
            <w:tcW w:w="146" w:type="dxa"/>
            <w:vMerge w:val="restart"/>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earnings/</w:t>
              <w:br/>
              <w:t>(deficit)</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other loss</w:t>
            </w:r>
          </w:p>
        </w:tc>
        <w:tc>
          <w:tcPr>
            <w:tcW w:w="146" w:type="dxa"/>
            <w:vMerge w:val="restart"/>
            <w:tcBorders/>
            <w:vAlign w:val="bottom"/>
          </w:tcPr>
          <w:p>
            <w:pPr>
              <w:pStyle w:val="TableContents"/>
              <w:bidi w:val="0"/>
              <w:spacing w:before="0" w:after="283"/>
              <w:jc w:val="left"/>
              <w:rPr/>
            </w:pPr>
            <w:r>
              <w:rPr/>
              <w:t> </w:t>
            </w:r>
          </w:p>
        </w:tc>
        <w:tc>
          <w:tcPr>
            <w:tcW w:w="177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Company’s </w:t>
              <w:br/>
              <w:t>equity/(deficit)</w:t>
            </w:r>
          </w:p>
        </w:tc>
      </w:tr>
      <w:tr>
        <w:trPr/>
        <w:tc>
          <w:tcPr>
            <w:tcW w:w="1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w:t>
            </w:r>
          </w:p>
        </w:tc>
        <w:tc>
          <w:tcPr>
            <w:tcW w:w="146"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41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5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73" w:type="dxa"/>
            <w:gridSpan w:val="3"/>
            <w:vMerge w:val="continue"/>
            <w:tcBorders/>
            <w:vAlign w:val="bottom"/>
          </w:tcPr>
          <w:p>
            <w:pPr>
              <w:pStyle w:val="Normal"/>
              <w:bidi w:val="0"/>
              <w:jc w:val="left"/>
              <w:rPr/>
            </w:pPr>
            <w:r>
              <w:rPr/>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2020</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shd w:fill="CCEEFF" w:val="clear"/>
            <w:vAlign w:val="bottom"/>
          </w:tcPr>
          <w:p>
            <w:pPr>
              <w:pStyle w:val="TableContents"/>
              <w:bidi w:val="0"/>
              <w:spacing w:before="0" w:after="283"/>
              <w:jc w:val="left"/>
              <w:rPr/>
            </w:pPr>
            <w:r>
              <w:rPr/>
              <w:t> </w:t>
            </w:r>
          </w:p>
        </w:tc>
        <w:tc>
          <w:tcPr>
            <w:tcW w:w="11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2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5,382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5,458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2021</w:t>
            </w:r>
          </w:p>
        </w:tc>
        <w:tc>
          <w:tcPr>
            <w:tcW w:w="146" w:type="dxa"/>
            <w:tcBorders/>
            <w:vAlign w:val="bottom"/>
          </w:tcPr>
          <w:p>
            <w:pPr>
              <w:pStyle w:val="TableContents"/>
              <w:bidi w:val="0"/>
              <w:spacing w:before="0" w:after="283"/>
              <w:jc w:val="left"/>
              <w:rPr/>
            </w:pPr>
            <w:r>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vAlign w:val="bottom"/>
          </w:tcPr>
          <w:p>
            <w:pPr>
              <w:pStyle w:val="TableContents"/>
              <w:bidi w:val="0"/>
              <w:spacing w:before="0" w:after="283"/>
              <w:jc w:val="left"/>
              <w:rPr/>
            </w:pPr>
            <w:r>
              <w:rPr/>
              <w:t> </w:t>
            </w:r>
          </w:p>
        </w:tc>
        <w:tc>
          <w:tcPr>
            <w:tcW w:w="11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2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5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35,349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8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(306</w:t>
            </w:r>
          </w:p>
        </w:tc>
        <w:tc>
          <w:tcPr>
            <w:tcW w:w="20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32,164</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distribution</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0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2022</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shd w:fill="CCEEFF" w:val="clear"/>
            <w:vAlign w:val="bottom"/>
          </w:tcPr>
          <w:p>
            <w:pPr>
              <w:pStyle w:val="TableContents"/>
              <w:bidi w:val="0"/>
              <w:spacing w:before="0" w:after="283"/>
              <w:jc w:val="left"/>
              <w:rPr/>
            </w:pPr>
            <w:r>
              <w:rPr/>
              <w:t> </w:t>
            </w:r>
          </w:p>
        </w:tc>
        <w:tc>
          <w:tcPr>
            <w:tcW w:w="11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t>
            </w:r>
          </w:p>
        </w:tc>
        <w:tc>
          <w:tcPr>
            <w:tcW w:w="9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32,240</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(1,323,341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(37,788</w:t>
            </w:r>
          </w:p>
        </w:tc>
        <w:tc>
          <w:tcPr>
            <w:tcW w:w="2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705"/>
      <w:bookmarkEnd w:id="34"/>
      <w:r>
        <w:rPr>
          <w:rFonts w:ascii="Times New Roman PS Std;serif" w:hAnsi="Times New Roman PS Std;serif"/>
          <w:b/>
          <w:i w:val="false"/>
          <w:caps w:val="false"/>
          <w:smallCaps w:val="false"/>
          <w:sz w:val="20"/>
        </w:rPr>
        <w:t>TRIDENT DIGITAL TECH HOLDINGS LTD</w:t>
        <w:br/>
        <w:t>CONSOLIDATED STATEMENTS OF CASH FLOWS</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952"/>
        <w:gridCol w:w="146"/>
        <w:gridCol w:w="226"/>
        <w:gridCol w:w="1141"/>
        <w:gridCol w:w="181"/>
        <w:gridCol w:w="146"/>
        <w:gridCol w:w="226"/>
        <w:gridCol w:w="961"/>
        <w:gridCol w:w="226"/>
      </w:tblGrid>
      <w:tr>
        <w:trPr/>
        <w:tc>
          <w:tcPr>
            <w:tcW w:w="69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0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Amortisation of right-of-use asset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101,099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benefit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assets and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71,232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(111,981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166,358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51,491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461,128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192,935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30,445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(127,196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249,052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54,678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a shareholder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distribution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long-term bank loans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652,789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of long-term bank loans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(79,067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from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748,533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loans from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(239,357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17,813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disclosures of non-cash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Obtaining right-of-use assets in exchange for operating lease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1,561,203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42,510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 (Note 11)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706"/>
      <w:bookmarkEnd w:id="35"/>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AND PRINCIPAL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Holdings Ltd (the “Company”) and its subsidiaries (collectively referred to as the “Group”) are principally engaged in the provision of business consulting service and IT customization solutions in the Republic of Singapore (the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under the law of Cayman Islands as an exempted company with limited liability on June 12,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Quality Zone Technologies Pte. Ltd. (“QZT”), was incorporated on December 3, 2014 in Singapore. It is engaged in providing branding &amp; marketing consulting service, IT customization development service and CRM product sale.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Pte. Ltd. (“Trident”) was incorporated on May 10, 2022 in Singapore. It has not started business as of December 31, 2022.</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anticipation of an initial public offering (“IPO”) of its equity securities, the Company undertook a reorganization (the “Reorganization”), which involved in following steps: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3, 2023, the Company acquired 100% of the equity interests in QZT from its original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QZT acquired 100% of the equity interests in Trident from its original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on July 4, 2023, the Company became the ultimate holding company of QZT and Trident, which were all controlled by the same shareholder before and after the 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Basis of presentation and principles of consolidation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Use of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consist of cash in bank and cash on hand. The Group’s demand deposits are held at financial institutions, which have original maturities of less than three months and are unrestricted as to withdrawal and use.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stated at the original amount less an allowance for doubtful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recognized in the period when the Group has rendered services to its customers and when its right to consideration is unconditional. The amounts due are stated at their net estimated realizable value. The Group reviews the accounts receivable on a periodic basis and makes general and specific allowances when there is doubt as to the collectability of individual balances. The Group considers factors in assessing the collectability of its receivables, such as historical bad debts, changes in customers’ payment patterns, credit-worthiness and financial condition of the customers, current economic trends and other specific circumstances related to the accounts. An allowance for doubtful accounts is recorded in the period in which a loss is determined to be probable. Accounts receivable balances are written off after all collection efforts have been exhausted.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provision of allowance for doubtful accounts as of December 31,2022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     Property and equipment,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tbl>
      <w:tblPr>
        <w:tblW w:w="5548" w:type="dxa"/>
        <w:jc w:val="left"/>
        <w:tblInd w:w="0" w:type="dxa"/>
        <w:tblLayout w:type="fixed"/>
        <w:tblCellMar>
          <w:top w:w="0" w:type="dxa"/>
          <w:left w:w="0" w:type="dxa"/>
          <w:bottom w:w="0" w:type="dxa"/>
          <w:right w:w="0" w:type="dxa"/>
        </w:tblCellMar>
      </w:tblPr>
      <w:tblGrid>
        <w:gridCol w:w="3001"/>
        <w:gridCol w:w="146"/>
        <w:gridCol w:w="2401"/>
      </w:tblGrid>
      <w:tr>
        <w:trPr/>
        <w:tc>
          <w:tcPr>
            <w:tcW w:w="30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Category</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 useful lives</w:t>
            </w:r>
          </w:p>
        </w:tc>
      </w:tr>
      <w:tr>
        <w:trPr/>
        <w:tc>
          <w:tcPr>
            <w:tcW w:w="30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w:t>
            </w:r>
          </w:p>
        </w:tc>
        <w:tc>
          <w:tcPr>
            <w:tcW w:w="146" w:type="dxa"/>
            <w:tcBorders/>
            <w:shd w:fill="CCEEFF" w:val="clear"/>
          </w:tcPr>
          <w:p>
            <w:pPr>
              <w:pStyle w:val="TableContents"/>
              <w:bidi w:val="0"/>
              <w:spacing w:before="0" w:after="283"/>
              <w:jc w:val="left"/>
              <w:rPr/>
            </w:pPr>
            <w:r>
              <w:rPr/>
              <w:t> </w:t>
            </w:r>
          </w:p>
        </w:tc>
        <w:tc>
          <w:tcPr>
            <w:tcW w:w="2401"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electric equipment</w:t>
            </w:r>
          </w:p>
        </w:tc>
        <w:tc>
          <w:tcPr>
            <w:tcW w:w="146" w:type="dxa"/>
            <w:tcBorders/>
          </w:tcPr>
          <w:p>
            <w:pPr>
              <w:pStyle w:val="TableContents"/>
              <w:bidi w:val="0"/>
              <w:spacing w:before="0" w:after="283"/>
              <w:jc w:val="left"/>
              <w:rPr/>
            </w:pPr>
            <w:r>
              <w:rPr/>
              <w:t> </w:t>
            </w:r>
          </w:p>
        </w:tc>
        <w:tc>
          <w:tcPr>
            <w:tcW w:w="2401"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r>
      <w:tr>
        <w:trPr/>
        <w:tc>
          <w:tcPr>
            <w:tcW w:w="30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w:t>
            </w:r>
          </w:p>
        </w:tc>
        <w:tc>
          <w:tcPr>
            <w:tcW w:w="146" w:type="dxa"/>
            <w:tcBorders/>
            <w:shd w:fill="CCEEFF" w:val="clear"/>
          </w:tcPr>
          <w:p>
            <w:pPr>
              <w:pStyle w:val="TableContents"/>
              <w:bidi w:val="0"/>
              <w:spacing w:before="0" w:after="283"/>
              <w:jc w:val="left"/>
              <w:rPr/>
            </w:pPr>
            <w:r>
              <w:rPr/>
              <w:t> </w:t>
            </w:r>
          </w:p>
        </w:tc>
        <w:tc>
          <w:tcPr>
            <w:tcW w:w="2401"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     Operating leases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adopted ASC 842 on January 1, 2021.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Right-of-use assets represent the Group’s right to use an underlying asset for the lease term and lease liabilities represent the Group’s obligation to make lease payments arising from the lease. Right-of-use assets and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 The operating lease right-of-use assets also include lease payments made before commencement and exclude lease incentives.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determines whether a contract is or contains a lease at inception of the contract and whether that lease meets the classification criteria of a finance or operating lease.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 Group had no long-term leases that were classified as a financing lease, and the Group’s lease contracts only contain fixed lease payments and do not contain any residual value guarantee.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lease agreements do not contain any material residual value guarantees or material restrictive covenants.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    Impairment of long-lived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impairment of long-lived assets was recognized for the years ended December 31, 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    Fair value measurement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inputs to the valuation methodology are quoted prices (unadjusted) for identical assets or liabilities in active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inputs to the valuation methodology are unobservable.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of the Group primarily consist of cash, accounts receivable, advance to suppliers, amounts due from related parties, prepaid expenses and other current assets, accounts payable, borrowings, amounts due to related parties, accrued expenses and other current liabilities. The carrying amounts of the Group’s financial instruments, including cash, accounts receivable, accounts payable, borrowings, amounts due to related parties, other payables, approximate their fair values because of their short-term nature.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     Revenue recognition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derives its revenues principally from providing business consulting service and IT customization 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recognition policies for each type of revenue stream are as follows: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Business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IT customization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IT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series of IT consulting service which is interrelated as one promise to develop customized software solutions.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revenue is recognized at a point in time when the customized software solution is successfully completed, delivered and accepted by customers.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Management software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payment is made by the customers in advance, and not subject to any variable consideration, refund, cancellation or termination provision. No significant financing component, noncash payment identified in the arrangements with customers.</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Revenue by categories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disaggregates the Group’s revenue categories for the years ended December 31, 2022 and 2021:</w:t>
      </w:r>
    </w:p>
    <w:tbl>
      <w:tblPr>
        <w:tblW w:w="6162" w:type="dxa"/>
        <w:jc w:val="left"/>
        <w:tblInd w:w="0" w:type="dxa"/>
        <w:tblLayout w:type="fixed"/>
        <w:tblCellMar>
          <w:top w:w="0" w:type="dxa"/>
          <w:left w:w="0" w:type="dxa"/>
          <w:bottom w:w="0" w:type="dxa"/>
          <w:right w:w="0" w:type="dxa"/>
        </w:tblCellMar>
      </w:tblPr>
      <w:tblGrid>
        <w:gridCol w:w="3151"/>
        <w:gridCol w:w="146"/>
        <w:gridCol w:w="241"/>
        <w:gridCol w:w="1201"/>
        <w:gridCol w:w="146"/>
        <w:gridCol w:w="241"/>
        <w:gridCol w:w="1036"/>
      </w:tblGrid>
      <w:tr>
        <w:trPr/>
        <w:tc>
          <w:tcPr>
            <w:tcW w:w="31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6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consulting service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629,434</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260,455</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customization</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633,465</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396,637</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IT consulting</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522,013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396,637</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Management software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1,262,899</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657,092</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Contract balances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as a contract asset and amortized to cost in a pattern that matches the timing of the revenue recognition of the related contract. The Group’s contract assets were $268,509, nil and nil as of December 31, 2022, 2021 and January 1, 2021,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of each reporting period. The Group’s deferred revenue was $192,935 and nil as of January 1, 2022 and 2021, respectively. The revenue recognized for the year end December 31, 2022 and 2021 that was included in the contract liability balance at the beginning of the period were $173,852 and nil, respectively. All unsatisfied performance obligation will be performed within the next twelve months and no significant financing component is involved.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accounts receivable and deferred revenue, the Group had no other material contract assets or contract liabilities recorded on its consolidated balance sheets as of December 31, 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     Costs of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mainly comprised of direct labor costs, service fee paid to service suppliers, commission cost and generic cost.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December 31, 2022 and 2021. Thus, management decided to record all of the valuation allowance. Valuation allowance amounted to $238,081 and $30,974 as of December 31, 2022 and 2021,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did not accrue any liability, interest or penalties related to uncertain tax positions in its provision for income taxes line of its consolidated statements of income for the years ended December 31, 2022 and 2021, respectively. The Company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expect that its assessment regarding unrecognized tax positions will materially change over the next 12 months.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     Goods and services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is generally 7% in Singapore. Entities that are GST general taxpayers are allowed to offset qualified input GST paid to suppliers against their output GST liabilities. Net GST balance between input GST and output GST is recorded in tax payable.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   Employee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$78,445 and $38,526 for the years ended December 31, 2022 and 2021, respectively.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    Foreign currency transactions and translations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of foreign currencies into US$1 have been made at the following exchange rates for the respective periods:</w:t>
      </w:r>
    </w:p>
    <w:tbl>
      <w:tblPr>
        <w:tblW w:w="7091" w:type="dxa"/>
        <w:jc w:val="left"/>
        <w:tblInd w:w="0" w:type="dxa"/>
        <w:tblLayout w:type="fixed"/>
        <w:tblCellMar>
          <w:top w:w="0" w:type="dxa"/>
          <w:left w:w="0" w:type="dxa"/>
          <w:bottom w:w="0" w:type="dxa"/>
          <w:right w:w="0" w:type="dxa"/>
        </w:tblCellMar>
      </w:tblPr>
      <w:tblGrid>
        <w:gridCol w:w="4831"/>
        <w:gridCol w:w="146"/>
        <w:gridCol w:w="940"/>
        <w:gridCol w:w="179"/>
        <w:gridCol w:w="995"/>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9"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sheet items, except for equity accounts</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1.3404</w:t>
            </w:r>
          </w:p>
        </w:tc>
        <w:tc>
          <w:tcPr>
            <w:tcW w:w="179"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1.3520</w:t>
            </w:r>
          </w:p>
        </w:tc>
      </w:tr>
    </w:tbl>
    <w:tbl>
      <w:tblPr>
        <w:tblW w:w="10205" w:type="dxa"/>
        <w:jc w:val="left"/>
        <w:tblInd w:w="0" w:type="dxa"/>
        <w:tblLayout w:type="fixed"/>
        <w:tblCellMar>
          <w:top w:w="0" w:type="dxa"/>
          <w:left w:w="0" w:type="dxa"/>
          <w:bottom w:w="0" w:type="dxa"/>
          <w:right w:w="0" w:type="dxa"/>
        </w:tblCellMar>
      </w:tblPr>
      <w:tblGrid>
        <w:gridCol w:w="7876"/>
        <w:gridCol w:w="146"/>
        <w:gridCol w:w="970"/>
        <w:gridCol w:w="184"/>
        <w:gridCol w:w="1029"/>
      </w:tblGrid>
      <w:tr>
        <w:trPr/>
        <w:tc>
          <w:tcPr>
            <w:tcW w:w="78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8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7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84" w:type="dxa"/>
            <w:tcBorders/>
            <w:vAlign w:val="bottom"/>
          </w:tcPr>
          <w:p>
            <w:pPr>
              <w:pStyle w:val="TableContents"/>
              <w:bidi w:val="0"/>
              <w:spacing w:before="0" w:after="283"/>
              <w:jc w:val="left"/>
              <w:rPr/>
            </w:pPr>
            <w:r>
              <w:rPr/>
              <w:t> </w:t>
            </w:r>
          </w:p>
        </w:tc>
        <w:tc>
          <w:tcPr>
            <w:tcW w:w="102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Items in the statements of income and comprehensive income, and statements of cash flows</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1.3787</w:t>
            </w:r>
          </w:p>
        </w:tc>
        <w:tc>
          <w:tcPr>
            <w:tcW w:w="184"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1.3438</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    Comprehensive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income consists of two components, net income and other comprehensive income. The foreign currency translation gain or loss resulting from translation of the financial statements expressed in SGD to USD is reported in other comprehensive income in the consolidated statements of income and comprehensive income.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    Loss/income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loss/income per share is computed by dividing net loss/income attributable to ordinary shareholders, taking into consideration the deemed dividends to preferred shareholders (if any), by the weighted average number of ordinary shares outstanding during the year using the two-class method. Under the two-class method, net loss/income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loss/income per share as of the date that all necessary conditions have been satisfied. Net loss/income are not allocated to other participating securities if based on their contractual terms they are not obligated to share the losses.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loss/income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    Segment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all of the Group’s revenues were generated from customers in SG and all of the Group’s long-lived assets are located in the SG, no geographical segments are presented.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     Recent accounting pronouncements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2016, the FASB issued ASU No. 2016-13, “Financial Instruments — Credit Losses (Topic 326)”, which will require the measurement of all expected credit losses for financial assets held at the reporting date based on historical experience, current conditions, and reasonable and supportable forecasts. Subsequently,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issued ASU No. 2018-19, Codification Improvements to Topic 326, to clarify that receivables arising from operating leases are within the scope of lease accounting standards. Further, the FASB issued ASU No. 2020-04, ASU 2020-05, ASU 2020-10, ASU 2020-11 and ASU 2021-02 to provide additional guidance on the credit losses standard. For all other entities, the amendments for ASU 2016-13 are effective for fiscal years beginning after December 15, 2022, including interim periods within those fiscal years, with early adoption permitted. Adoption of the ASUs is on a modified retrospective basis. The Group will adopt ASU 2016-13 from January 1, 2023. The Group is in the process of evaluating the effect of the adoption of this ASU.</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consisted of the following:</w:t>
      </w:r>
    </w:p>
    <w:tbl>
      <w:tblPr>
        <w:tblW w:w="5697" w:type="dxa"/>
        <w:jc w:val="left"/>
        <w:tblInd w:w="0" w:type="dxa"/>
        <w:tblLayout w:type="fixed"/>
        <w:tblCellMar>
          <w:top w:w="0" w:type="dxa"/>
          <w:left w:w="0" w:type="dxa"/>
          <w:bottom w:w="0" w:type="dxa"/>
          <w:right w:w="0" w:type="dxa"/>
        </w:tblCellMar>
      </w:tblPr>
      <w:tblGrid>
        <w:gridCol w:w="3256"/>
        <w:gridCol w:w="146"/>
        <w:gridCol w:w="226"/>
        <w:gridCol w:w="766"/>
        <w:gridCol w:w="146"/>
        <w:gridCol w:w="226"/>
        <w:gridCol w:w="931"/>
      </w:tblGrid>
      <w:tr>
        <w:trPr/>
        <w:tc>
          <w:tcPr>
            <w:tcW w:w="32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32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recorded nil bad debt expense for the years ended December 31, 2022 and 2021.</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PREPAID EXPENSES AND OTHER CURRENT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 consisted of the following:</w:t>
      </w:r>
    </w:p>
    <w:tbl>
      <w:tblPr>
        <w:tblW w:w="7272" w:type="dxa"/>
        <w:jc w:val="left"/>
        <w:tblInd w:w="0" w:type="dxa"/>
        <w:tblLayout w:type="fixed"/>
        <w:tblCellMar>
          <w:top w:w="0" w:type="dxa"/>
          <w:left w:w="0" w:type="dxa"/>
          <w:bottom w:w="0" w:type="dxa"/>
          <w:right w:w="0" w:type="dxa"/>
        </w:tblCellMar>
      </w:tblPr>
      <w:tblGrid>
        <w:gridCol w:w="4831"/>
        <w:gridCol w:w="146"/>
        <w:gridCol w:w="226"/>
        <w:gridCol w:w="886"/>
        <w:gridCol w:w="146"/>
        <w:gridCol w:w="226"/>
        <w:gridCol w:w="81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8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66,719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4,697</w:t>
            </w:r>
          </w:p>
        </w:tc>
      </w:tr>
      <w:tr>
        <w:trPr/>
        <w:tc>
          <w:tcPr>
            <w:tcW w:w="48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prepayment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8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42,594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25,173</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prepaid expenses and other current assets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PROPERTY AND EQUIPMENT,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consisted of the following:</w:t>
      </w:r>
    </w:p>
    <w:tbl>
      <w:tblPr>
        <w:tblW w:w="7377" w:type="dxa"/>
        <w:jc w:val="left"/>
        <w:tblInd w:w="0" w:type="dxa"/>
        <w:tblLayout w:type="fixed"/>
        <w:tblCellMar>
          <w:top w:w="0" w:type="dxa"/>
          <w:left w:w="0" w:type="dxa"/>
          <w:bottom w:w="0" w:type="dxa"/>
          <w:right w:w="0" w:type="dxa"/>
        </w:tblCellMar>
      </w:tblPr>
      <w:tblGrid>
        <w:gridCol w:w="4936"/>
        <w:gridCol w:w="146"/>
        <w:gridCol w:w="226"/>
        <w:gridCol w:w="886"/>
        <w:gridCol w:w="146"/>
        <w:gridCol w:w="226"/>
        <w:gridCol w:w="811"/>
      </w:tblGrid>
      <w:tr>
        <w:trPr/>
        <w:tc>
          <w:tcPr>
            <w:tcW w:w="49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22,091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21,901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electric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47,531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6,858</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59,822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24,231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129,444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52,990</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 and amortization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106,718</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47,659</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PROPERTY AND EQUIPMENT, NET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were $16,867 and $5,363 for the years ended December 31, 2022 and 2021,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did not record any impairment charge for the years ended December 31, 2022 and 2021.</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ACCRUED EXPENSES AND OTHER CURRENT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 consisted of the following:</w:t>
      </w:r>
    </w:p>
    <w:tbl>
      <w:tblPr>
        <w:tblW w:w="7572" w:type="dxa"/>
        <w:jc w:val="left"/>
        <w:tblInd w:w="0" w:type="dxa"/>
        <w:tblLayout w:type="fixed"/>
        <w:tblCellMar>
          <w:top w:w="0" w:type="dxa"/>
          <w:left w:w="0" w:type="dxa"/>
          <w:bottom w:w="0" w:type="dxa"/>
          <w:right w:w="0" w:type="dxa"/>
        </w:tblCellMar>
      </w:tblPr>
      <w:tblGrid>
        <w:gridCol w:w="5131"/>
        <w:gridCol w:w="146"/>
        <w:gridCol w:w="226"/>
        <w:gridCol w:w="886"/>
        <w:gridCol w:w="146"/>
        <w:gridCol w:w="226"/>
        <w:gridCol w:w="811"/>
      </w:tblGrid>
      <w:tr>
        <w:trPr/>
        <w:tc>
          <w:tcPr>
            <w:tcW w:w="51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51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GST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23,386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23,774</w:t>
            </w:r>
          </w:p>
        </w:tc>
      </w:tr>
      <w:tr>
        <w:trPr/>
        <w:tc>
          <w:tcPr>
            <w:tcW w:w="5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30,904</w:t>
            </w:r>
          </w:p>
        </w:tc>
      </w:tr>
      <w:tr>
        <w:trPr/>
        <w:tc>
          <w:tcPr>
            <w:tcW w:w="5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5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accrued expenses and other current liabilities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303,730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54,678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mainly consisted of reimbursement payable to employees and miscellaneous fees payable to third parties.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SUBSCRIPTION FEES ADVANCE FROM A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equity when the Group complete its reorganization and by issuing 24,795,000 Class B Ordinary Shares on July 4, 2023.</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LEASES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lease cost recognized in the Group’s consolidated and combined statements of operations and comprehensive loss is as follows:</w:t>
      </w:r>
    </w:p>
    <w:tbl>
      <w:tblPr>
        <w:tblW w:w="8292" w:type="dxa"/>
        <w:jc w:val="left"/>
        <w:tblInd w:w="0" w:type="dxa"/>
        <w:tblLayout w:type="fixed"/>
        <w:tblCellMar>
          <w:top w:w="0" w:type="dxa"/>
          <w:left w:w="0" w:type="dxa"/>
          <w:bottom w:w="0" w:type="dxa"/>
          <w:right w:w="0" w:type="dxa"/>
        </w:tblCellMar>
      </w:tblPr>
      <w:tblGrid>
        <w:gridCol w:w="5851"/>
        <w:gridCol w:w="146"/>
        <w:gridCol w:w="226"/>
        <w:gridCol w:w="886"/>
        <w:gridCol w:w="146"/>
        <w:gridCol w:w="226"/>
        <w:gridCol w:w="811"/>
      </w:tblGrid>
      <w:tr>
        <w:trPr/>
        <w:tc>
          <w:tcPr>
            <w:tcW w:w="58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leases cost excluding short-term rental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151,752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8,335</w:t>
            </w:r>
          </w:p>
        </w:tc>
      </w:tr>
      <w:tr>
        <w:trPr/>
        <w:tc>
          <w:tcPr>
            <w:tcW w:w="5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14,883</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153,565</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23,218</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 weighted average remaining lease term was 4.53 years and 1.50 years, respectively, and the weighted average discount rate was 5.0% and 2.5% for the Group’s operating leases,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LEASES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maturity of lease liabilities under operating leases as of December 31, 2022:</w:t>
      </w:r>
    </w:p>
    <w:tbl>
      <w:tblPr>
        <w:tblW w:w="5294" w:type="dxa"/>
        <w:jc w:val="left"/>
        <w:tblInd w:w="0" w:type="dxa"/>
        <w:tblLayout w:type="fixed"/>
        <w:tblCellMar>
          <w:top w:w="0" w:type="dxa"/>
          <w:left w:w="0" w:type="dxa"/>
          <w:bottom w:w="0" w:type="dxa"/>
          <w:right w:w="0" w:type="dxa"/>
        </w:tblCellMar>
      </w:tblPr>
      <w:tblGrid>
        <w:gridCol w:w="3676"/>
        <w:gridCol w:w="146"/>
        <w:gridCol w:w="226"/>
        <w:gridCol w:w="1246"/>
      </w:tblGrid>
      <w:tr>
        <w:trPr/>
        <w:tc>
          <w:tcPr>
            <w:tcW w:w="36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 December 31,</w:t>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Operating </w:t>
              <w:br/>
              <w:t>Leases</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345,255</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227,798</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lease payments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1,649,507</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181,521</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1,467,986</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277,699</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portion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1,190,287</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TAXATION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incorporated in the Cayman Islands. Under the current laws of the Cayman Islands, the Company is not subject to income or capital gains taxes. In addition, dividend payments are not subject to withholdings tax in the Cayman Islands.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Pte. Ltd. and Quality Zone Technologies Pte. Ltd. are located in Singapore and are subject to 17% statutory income tax rate with respect to the profit generated from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tax provision consisted of the following components:</w:t>
      </w:r>
    </w:p>
    <w:tbl>
      <w:tblPr>
        <w:tblW w:w="6416" w:type="dxa"/>
        <w:jc w:val="left"/>
        <w:tblInd w:w="0" w:type="dxa"/>
        <w:tblLayout w:type="fixed"/>
        <w:tblCellMar>
          <w:top w:w="0" w:type="dxa"/>
          <w:left w:w="0" w:type="dxa"/>
          <w:bottom w:w="0" w:type="dxa"/>
          <w:right w:w="0" w:type="dxa"/>
        </w:tblCellMar>
      </w:tblPr>
      <w:tblGrid>
        <w:gridCol w:w="4006"/>
        <w:gridCol w:w="146"/>
        <w:gridCol w:w="249"/>
        <w:gridCol w:w="712"/>
        <w:gridCol w:w="160"/>
        <w:gridCol w:w="249"/>
        <w:gridCol w:w="894"/>
      </w:tblGrid>
      <w:tr>
        <w:trPr/>
        <w:tc>
          <w:tcPr>
            <w:tcW w:w="40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6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60" w:type="dxa"/>
            <w:tcBorders/>
            <w:vAlign w:val="bottom"/>
          </w:tcPr>
          <w:p>
            <w:pPr>
              <w:pStyle w:val="TableContents"/>
              <w:bidi w:val="0"/>
              <w:spacing w:before="0" w:after="283"/>
              <w:jc w:val="left"/>
              <w:rPr/>
            </w:pPr>
            <w:r>
              <w:rPr/>
              <w:t> </w:t>
            </w:r>
          </w:p>
        </w:tc>
        <w:tc>
          <w:tcPr>
            <w:tcW w:w="114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income tax expenses</w:t>
            </w:r>
          </w:p>
        </w:tc>
        <w:tc>
          <w:tcPr>
            <w:tcW w:w="14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r>
      <w:tr>
        <w:trPr/>
        <w:tc>
          <w:tcPr>
            <w:tcW w:w="4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 (benefit) expenses</w:t>
            </w:r>
          </w:p>
        </w:tc>
        <w:tc>
          <w:tcPr>
            <w:tcW w:w="146"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0"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income tax expenses</w:t>
            </w:r>
          </w:p>
        </w:tc>
        <w:tc>
          <w:tcPr>
            <w:tcW w:w="146" w:type="dxa"/>
            <w:tcBorders/>
            <w:shd w:fill="CCEEFF" w:val="clear"/>
            <w:vAlign w:val="bottom"/>
          </w:tcPr>
          <w:p>
            <w:pPr>
              <w:pStyle w:val="TableContents"/>
              <w:bidi w:val="0"/>
              <w:spacing w:before="0" w:after="283"/>
              <w:jc w:val="left"/>
              <w:rPr/>
            </w:pPr>
            <w:r>
              <w:rPr/>
              <w:t> </w:t>
            </w:r>
          </w:p>
        </w:tc>
        <w:tc>
          <w:tcPr>
            <w:tcW w:w="24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60" w:type="dxa"/>
            <w:tcBorders/>
            <w:shd w:fill="CCEEFF" w:val="clear"/>
            <w:vAlign w:val="bottom"/>
          </w:tcPr>
          <w:p>
            <w:pPr>
              <w:pStyle w:val="TableContents"/>
              <w:bidi w:val="0"/>
              <w:spacing w:before="0" w:after="283"/>
              <w:jc w:val="left"/>
              <w:rPr/>
            </w:pPr>
            <w:r>
              <w:rPr/>
              <w:t> </w:t>
            </w:r>
          </w:p>
        </w:tc>
        <w:tc>
          <w:tcPr>
            <w:tcW w:w="24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between the Group’s actual provision for income taxes and the provision at the SG, mainland statutory rate is as follows:</w:t>
      </w:r>
    </w:p>
    <w:tbl>
      <w:tblPr>
        <w:tblW w:w="8594" w:type="dxa"/>
        <w:jc w:val="left"/>
        <w:tblInd w:w="0" w:type="dxa"/>
        <w:tblLayout w:type="fixed"/>
        <w:tblCellMar>
          <w:top w:w="0" w:type="dxa"/>
          <w:left w:w="0" w:type="dxa"/>
          <w:bottom w:w="0" w:type="dxa"/>
          <w:right w:w="0" w:type="dxa"/>
        </w:tblCellMar>
      </w:tblPr>
      <w:tblGrid>
        <w:gridCol w:w="5251"/>
        <w:gridCol w:w="146"/>
        <w:gridCol w:w="226"/>
        <w:gridCol w:w="1141"/>
        <w:gridCol w:w="286"/>
        <w:gridCol w:w="146"/>
        <w:gridCol w:w="226"/>
        <w:gridCol w:w="841"/>
        <w:gridCol w:w="331"/>
      </w:tblGrid>
      <w:tr>
        <w:trPr/>
        <w:tc>
          <w:tcPr>
            <w:tcW w:w="52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9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2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9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before income taxes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 computed at statutory EIT rate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(191,198</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9,862</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Reconciling items: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Non-taxable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(1,411</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201,092</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31,163</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Singapore tax rebate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(12,967</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 significant components of the deferred tax assets are summarized below:</w:t>
      </w:r>
    </w:p>
    <w:tbl>
      <w:tblPr>
        <w:tblW w:w="8519" w:type="dxa"/>
        <w:jc w:val="left"/>
        <w:tblInd w:w="0" w:type="dxa"/>
        <w:tblLayout w:type="fixed"/>
        <w:tblCellMar>
          <w:top w:w="0" w:type="dxa"/>
          <w:left w:w="0" w:type="dxa"/>
          <w:bottom w:w="0" w:type="dxa"/>
          <w:right w:w="0" w:type="dxa"/>
        </w:tblCellMar>
      </w:tblPr>
      <w:tblGrid>
        <w:gridCol w:w="5371"/>
        <w:gridCol w:w="146"/>
        <w:gridCol w:w="241"/>
        <w:gridCol w:w="1081"/>
        <w:gridCol w:w="196"/>
        <w:gridCol w:w="146"/>
        <w:gridCol w:w="241"/>
        <w:gridCol w:w="856"/>
        <w:gridCol w:w="241"/>
      </w:tblGrid>
      <w:tr>
        <w:trPr/>
        <w:tc>
          <w:tcPr>
            <w:tcW w:w="53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 carried forward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164,313</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249,558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111,191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gross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525,062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39,012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(238,081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net of valuation allowance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8,038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(253,994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(8,038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Deferred tax assets (liability)</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roll forward of valuation allowances of deferred tax assets were as follows:</w:t>
      </w:r>
    </w:p>
    <w:tbl>
      <w:tblPr>
        <w:tblW w:w="6748" w:type="dxa"/>
        <w:jc w:val="left"/>
        <w:tblInd w:w="0" w:type="dxa"/>
        <w:tblLayout w:type="fixed"/>
        <w:tblCellMar>
          <w:top w:w="0" w:type="dxa"/>
          <w:left w:w="0" w:type="dxa"/>
          <w:bottom w:w="0" w:type="dxa"/>
          <w:right w:w="0" w:type="dxa"/>
        </w:tblCellMar>
      </w:tblPr>
      <w:tblGrid>
        <w:gridCol w:w="4126"/>
        <w:gridCol w:w="146"/>
        <w:gridCol w:w="226"/>
        <w:gridCol w:w="886"/>
        <w:gridCol w:w="146"/>
        <w:gridCol w:w="226"/>
        <w:gridCol w:w="766"/>
        <w:gridCol w:w="226"/>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7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beginning of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 of valuation allowance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201,092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31,163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end of year</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238,081</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Uncertain tax 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December 31, 2022 and 2021, the Group did not have any significant unrecognized uncertain tax positions. The Group did not incur interest and penalties tax for the years ended December 31, 2022 and 2021. As of December 31, 2022, the tax years ended December 31, 2018 to 2022 for the Group’s Singapore subsidiaries remain open for statutory examination by any applicable tax authorities.</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BORROWINGS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summary of the borrowings is as following:</w:t>
      </w:r>
    </w:p>
    <w:tbl>
      <w:tblPr>
        <w:tblW w:w="13642" w:type="dxa"/>
        <w:jc w:val="left"/>
        <w:tblInd w:w="0" w:type="dxa"/>
        <w:tblLayout w:type="fixed"/>
        <w:tblCellMar>
          <w:top w:w="0" w:type="dxa"/>
          <w:left w:w="0" w:type="dxa"/>
          <w:bottom w:w="0" w:type="dxa"/>
          <w:right w:w="0" w:type="dxa"/>
        </w:tblCellMar>
      </w:tblPr>
      <w:tblGrid>
        <w:gridCol w:w="3496"/>
        <w:gridCol w:w="146"/>
        <w:gridCol w:w="545"/>
        <w:gridCol w:w="281"/>
        <w:gridCol w:w="146"/>
        <w:gridCol w:w="1651"/>
        <w:gridCol w:w="146"/>
        <w:gridCol w:w="1651"/>
        <w:gridCol w:w="146"/>
        <w:gridCol w:w="931"/>
        <w:gridCol w:w="146"/>
        <w:gridCol w:w="901"/>
        <w:gridCol w:w="146"/>
        <w:gridCol w:w="1126"/>
        <w:gridCol w:w="146"/>
        <w:gridCol w:w="781"/>
        <w:gridCol w:w="146"/>
        <w:gridCol w:w="1111"/>
      </w:tblGrid>
      <w:tr>
        <w:trPr/>
        <w:tc>
          <w:tcPr>
            <w:tcW w:w="34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of December 31, </w:t>
              <w:br/>
              <w:t>2022</w:t>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of December 31, </w:t>
              <w:br/>
              <w:t>2021</w:t>
            </w:r>
          </w:p>
        </w:tc>
      </w:tr>
      <w:tr>
        <w:trPr/>
        <w:tc>
          <w:tcPr>
            <w:tcW w:w="3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Bank and other financial institution</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Annual </w:t>
              <w:br/>
              <w:t xml:space="preserve">Interest </w:t>
              <w:br/>
              <w:t>Rate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Start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Maturity</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Principal</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w:t>
              <w:br/>
              <w:t>term</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Long-term </w:t>
              <w:br/>
              <w:t xml:space="preserve">(current </w:t>
              <w:br/>
              <w:t>portions)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w:t>
              <w:br/>
              <w:t>term</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Long-term </w:t>
              <w:br/>
              <w:t xml:space="preserve">(current </w:t>
              <w:br/>
              <w:t>portions)</w:t>
            </w:r>
          </w:p>
        </w:tc>
      </w:tr>
      <w:tr>
        <w:trPr/>
        <w:tc>
          <w:tcPr>
            <w:tcW w:w="3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r>
      <w:tr>
        <w:trPr/>
        <w:tc>
          <w:tcPr>
            <w:tcW w:w="3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OCBC Bank</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2021</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2026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22,189</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10,043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14,372</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4,304</w:t>
            </w:r>
          </w:p>
        </w:tc>
      </w:tr>
      <w:tr>
        <w:trPr/>
        <w:tc>
          <w:tcPr>
            <w:tcW w:w="3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OCBC Bank</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4.25</w:t>
            </w:r>
          </w:p>
        </w:tc>
        <w:tc>
          <w:tcPr>
            <w:tcW w:w="2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2021</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2026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25,888</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5,046</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19,968</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4,796</w:t>
            </w:r>
          </w:p>
        </w:tc>
      </w:tr>
      <w:tr>
        <w:trPr/>
        <w:tc>
          <w:tcPr>
            <w:tcW w:w="3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UOB Bank</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2022</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2027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373,023</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256,862</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70,622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Maybank Singapore Limited</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w:t>
            </w:r>
          </w:p>
        </w:tc>
        <w:tc>
          <w:tcPr>
            <w:tcW w:w="2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2022</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2027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298,418</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216,573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55,243</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4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719,518</w:t>
            </w:r>
          </w:p>
        </w:tc>
        <w:tc>
          <w:tcPr>
            <w:tcW w:w="146" w:type="dxa"/>
            <w:tcBorders/>
            <w:shd w:fill="CCEEFF" w:val="clear"/>
            <w:vAlign w:val="bottom"/>
          </w:tcPr>
          <w:p>
            <w:pPr>
              <w:pStyle w:val="TableContents"/>
              <w:bidi w:val="0"/>
              <w:spacing w:before="0" w:after="283"/>
              <w:jc w:val="left"/>
              <w:rPr/>
            </w:pPr>
            <w:r>
              <w:rPr/>
              <w:t> </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498,572</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135,360</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34,340</w:t>
            </w:r>
          </w:p>
        </w:tc>
        <w:tc>
          <w:tcPr>
            <w:tcW w:w="146" w:type="dxa"/>
            <w:tcBorders/>
            <w:shd w:fill="CCEEFF" w:val="clear"/>
            <w:vAlign w:val="bottom"/>
          </w:tcPr>
          <w:p>
            <w:pPr>
              <w:pStyle w:val="TableContents"/>
              <w:bidi w:val="0"/>
              <w:spacing w:before="0" w:after="283"/>
              <w:jc w:val="left"/>
              <w:rPr/>
            </w:pPr>
            <w:r>
              <w:rPr/>
              <w:t> </w:t>
            </w:r>
          </w:p>
        </w:tc>
        <w:tc>
          <w:tcPr>
            <w:tcW w:w="11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9,100</w:t>
            </w:r>
          </w:p>
        </w:tc>
      </w:tr>
    </w:tbl>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 were $17,813 and $745 for the years ended December 31, 2022 and 2021, respectively.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borrowings above are guaranteed by the Group’s shareholder, Poh Kiong Tan.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Debt Maturities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contractual maturities of the Group’s borrowings as of December 31, 2022 were as follows:</w:t>
      </w:r>
    </w:p>
    <w:tbl>
      <w:tblPr>
        <w:tblW w:w="2729" w:type="dxa"/>
        <w:jc w:val="left"/>
        <w:tblInd w:w="0" w:type="dxa"/>
        <w:tblLayout w:type="fixed"/>
        <w:tblCellMar>
          <w:top w:w="0" w:type="dxa"/>
          <w:left w:w="0" w:type="dxa"/>
          <w:bottom w:w="0" w:type="dxa"/>
          <w:right w:w="0" w:type="dxa"/>
        </w:tblCellMar>
      </w:tblPr>
      <w:tblGrid>
        <w:gridCol w:w="1426"/>
        <w:gridCol w:w="146"/>
        <w:gridCol w:w="226"/>
        <w:gridCol w:w="931"/>
      </w:tblGrid>
      <w:tr>
        <w:trPr/>
        <w:tc>
          <w:tcPr>
            <w:tcW w:w="14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135,360</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 2 years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141,403</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 3 years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147,713</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 4 years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148,901</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 5 years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60,555</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633,932</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OTHER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consisted of the following:</w:t>
      </w:r>
    </w:p>
    <w:tbl>
      <w:tblPr>
        <w:tblW w:w="9177" w:type="dxa"/>
        <w:jc w:val="left"/>
        <w:tblInd w:w="0" w:type="dxa"/>
        <w:tblLayout w:type="fixed"/>
        <w:tblCellMar>
          <w:top w:w="0" w:type="dxa"/>
          <w:left w:w="0" w:type="dxa"/>
          <w:bottom w:w="0" w:type="dxa"/>
          <w:right w:w="0" w:type="dxa"/>
        </w:tblCellMar>
      </w:tblPr>
      <w:tblGrid>
        <w:gridCol w:w="6616"/>
        <w:gridCol w:w="146"/>
        <w:gridCol w:w="226"/>
        <w:gridCol w:w="886"/>
        <w:gridCol w:w="146"/>
        <w:gridCol w:w="226"/>
        <w:gridCol w:w="931"/>
      </w:tblGrid>
      <w:tr>
        <w:trPr/>
        <w:tc>
          <w:tcPr>
            <w:tcW w:w="66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1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66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75,371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73,888</w:t>
            </w:r>
          </w:p>
        </w:tc>
      </w:tr>
      <w:tr>
        <w:trPr/>
        <w:tc>
          <w:tcPr>
            <w:tcW w:w="6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Non-refundable service fee from terminated consulting projects(1)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50,047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Referral commission(2)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75,633</w:t>
            </w:r>
          </w:p>
        </w:tc>
      </w:tr>
      <w:tr>
        <w:trPr/>
        <w:tc>
          <w:tcPr>
            <w:tcW w:w="6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6,699</w:t>
            </w:r>
          </w:p>
        </w:tc>
      </w:tr>
      <w:tr>
        <w:trPr/>
        <w:tc>
          <w:tcPr>
            <w:tcW w:w="6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156,220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Pursuant to sales contracts, the Group has the right to terminate the project in the situation of non-payment from customers for up to two or four weeks from the billed invoice due date and no refund will be provided to customers. The Group record the received projects fees as other income when the project has been determined as terminated.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Group record referral fees as other income when other consulting services providers successfully engaged by customer and paid the Group referral fee.</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list of related parties which the Group has transactions with:</w:t>
      </w:r>
    </w:p>
    <w:tbl>
      <w:tblPr>
        <w:tblW w:w="8500" w:type="dxa"/>
        <w:jc w:val="left"/>
        <w:tblInd w:w="0" w:type="dxa"/>
        <w:tblLayout w:type="fixed"/>
        <w:tblCellMar>
          <w:top w:w="0" w:type="dxa"/>
          <w:left w:w="0" w:type="dxa"/>
          <w:bottom w:w="0" w:type="dxa"/>
          <w:right w:w="0" w:type="dxa"/>
        </w:tblCellMar>
      </w:tblPr>
      <w:tblGrid>
        <w:gridCol w:w="526"/>
        <w:gridCol w:w="146"/>
        <w:gridCol w:w="2911"/>
        <w:gridCol w:w="146"/>
        <w:gridCol w:w="4771"/>
      </w:tblGrid>
      <w:tr>
        <w:trPr/>
        <w:tc>
          <w:tcPr>
            <w:tcW w:w="5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Parties</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with the Group</w:t>
            </w:r>
          </w:p>
        </w:tc>
      </w:tr>
      <w:tr>
        <w:trPr/>
        <w:tc>
          <w:tcPr>
            <w:tcW w:w="52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Chairman, Chief Executive Officer</w:t>
            </w:r>
          </w:p>
        </w:tc>
      </w:tr>
      <w:tr>
        <w:trPr/>
        <w:tc>
          <w:tcPr>
            <w:tcW w:w="52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52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equity interests owned by Soon Huat Lim</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to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 consisted of the following for the periods indicated:</w:t>
      </w:r>
    </w:p>
    <w:tbl>
      <w:tblPr>
        <w:tblW w:w="5862" w:type="dxa"/>
        <w:jc w:val="left"/>
        <w:tblInd w:w="0" w:type="dxa"/>
        <w:tblLayout w:type="fixed"/>
        <w:tblCellMar>
          <w:top w:w="0" w:type="dxa"/>
          <w:left w:w="0" w:type="dxa"/>
          <w:bottom w:w="0" w:type="dxa"/>
          <w:right w:w="0" w:type="dxa"/>
        </w:tblCellMar>
      </w:tblPr>
      <w:tblGrid>
        <w:gridCol w:w="3196"/>
        <w:gridCol w:w="146"/>
        <w:gridCol w:w="241"/>
        <w:gridCol w:w="991"/>
        <w:gridCol w:w="146"/>
        <w:gridCol w:w="241"/>
        <w:gridCol w:w="901"/>
      </w:tblGrid>
      <w:tr>
        <w:trPr/>
        <w:tc>
          <w:tcPr>
            <w:tcW w:w="31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2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3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11,491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63,753</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513,280</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526,263</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63,753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represented loan from this related party for the Group’s daily operation with no fixed term of repayment and interest, and expense paid on behalf of the Group.</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 represented loan from this related party.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balance represented interest-free loan from this related party for the Group’s daily operation at maturity within three months, offset by loan to this related party.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0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RELATED PARTY TRANSACTIONS </w:t>
      </w:r>
      <w:r>
        <w:rPr>
          <w:rFonts w:ascii="Times New Roman PS Std;serif" w:hAnsi="Times New Roman PS Std;serif"/>
          <w:b w:val="false"/>
          <w:i w:val="false"/>
          <w:caps w:val="false"/>
          <w:smallCaps w:val="false"/>
          <w:sz w:val="20"/>
        </w:rPr>
        <w:t>(cont.)</w:t>
      </w:r>
    </w:p>
    <w:tbl>
      <w:tblPr>
        <w:tblW w:w="6852" w:type="dxa"/>
        <w:jc w:val="left"/>
        <w:tblInd w:w="0" w:type="dxa"/>
        <w:tblLayout w:type="fixed"/>
        <w:tblCellMar>
          <w:top w:w="0" w:type="dxa"/>
          <w:left w:w="0" w:type="dxa"/>
          <w:bottom w:w="0" w:type="dxa"/>
          <w:right w:w="0" w:type="dxa"/>
        </w:tblCellMar>
      </w:tblPr>
      <w:tblGrid>
        <w:gridCol w:w="4411"/>
        <w:gridCol w:w="146"/>
        <w:gridCol w:w="226"/>
        <w:gridCol w:w="886"/>
        <w:gridCol w:w="146"/>
        <w:gridCol w:w="226"/>
        <w:gridCol w:w="811"/>
      </w:tblGrid>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Related party transactions</w:t>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Nature</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87,039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44,650</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87,039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22,325</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paid on behalf of the Group</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26,897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43,376</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Soon Huat Lim</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Deemed dividend(2)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Trident Consultancy Pte. Ltd.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152,318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660,043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from loan to a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21,760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year ended December 31, 2022, QZT received contribution from Poh Kiong Tan. The contribution was implemented to reduce the outstanding balance due to Poh Kiong Tan by $36,266.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year ended December 31, 2022, QZT declared dividend to Soon Huat Lim.</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410,205,000 shares to the shareholders at par value $0.00001 per share, among which, 50,000,000 Class A ordinary shares and 360,205,000 Class B ordinary shares issued and outstanding as of December 31, 2022 and 2021, respectively. The Company has retroactively restated all shares and per share data for all periods presented.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subscription receivable on the consolidated balance sheets represented the unrecovered consideration of the nil and 410,205,000 ordinary shares issued by the Company.</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CONCENTRATION OF CREDIT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0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CONCENTRATION OF CREDIT RISK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revenue.</w:t>
      </w:r>
    </w:p>
    <w:tbl>
      <w:tblPr>
        <w:tblW w:w="6281" w:type="dxa"/>
        <w:jc w:val="left"/>
        <w:tblInd w:w="0" w:type="dxa"/>
        <w:tblLayout w:type="fixed"/>
        <w:tblCellMar>
          <w:top w:w="0" w:type="dxa"/>
          <w:left w:w="0" w:type="dxa"/>
          <w:bottom w:w="0" w:type="dxa"/>
          <w:right w:w="0" w:type="dxa"/>
        </w:tblCellMar>
      </w:tblPr>
      <w:tblGrid>
        <w:gridCol w:w="4021"/>
        <w:gridCol w:w="146"/>
        <w:gridCol w:w="880"/>
        <w:gridCol w:w="217"/>
        <w:gridCol w:w="518"/>
        <w:gridCol w:w="499"/>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17" w:type="dxa"/>
            <w:tcBorders/>
            <w:vAlign w:val="bottom"/>
          </w:tcPr>
          <w:p>
            <w:pPr>
              <w:pStyle w:val="TableContents"/>
              <w:bidi w:val="0"/>
              <w:spacing w:before="0" w:after="283"/>
              <w:jc w:val="left"/>
              <w:rPr/>
            </w:pPr>
            <w:r>
              <w:rPr/>
              <w:t> </w:t>
            </w:r>
          </w:p>
        </w:tc>
        <w:tc>
          <w:tcPr>
            <w:tcW w:w="10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total revenue</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7" w:type="dxa"/>
            <w:tcBorders/>
            <w:vAlign w:val="bottom"/>
          </w:tcPr>
          <w:p>
            <w:pPr>
              <w:pStyle w:val="TableContents"/>
              <w:bidi w:val="0"/>
              <w:spacing w:before="0" w:after="283"/>
              <w:jc w:val="left"/>
              <w:rPr/>
            </w:pPr>
            <w:r>
              <w:rPr/>
              <w:t> </w:t>
            </w:r>
          </w:p>
        </w:tc>
        <w:tc>
          <w:tcPr>
            <w:tcW w:w="51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9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7"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9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88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7" w:type="dxa"/>
            <w:tcBorders/>
            <w:vAlign w:val="bottom"/>
          </w:tcPr>
          <w:p>
            <w:pPr>
              <w:pStyle w:val="TableContents"/>
              <w:bidi w:val="0"/>
              <w:spacing w:before="0" w:after="283"/>
              <w:jc w:val="left"/>
              <w:rPr/>
            </w:pPr>
            <w:r>
              <w:rPr/>
              <w:t> </w:t>
            </w:r>
          </w:p>
        </w:tc>
        <w:tc>
          <w:tcPr>
            <w:tcW w:w="51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49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 percentage less than 10%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accounts receivable:</w:t>
      </w:r>
    </w:p>
    <w:tbl>
      <w:tblPr>
        <w:tblW w:w="6925" w:type="dxa"/>
        <w:jc w:val="left"/>
        <w:tblInd w:w="0" w:type="dxa"/>
        <w:tblLayout w:type="fixed"/>
        <w:tblCellMar>
          <w:top w:w="0" w:type="dxa"/>
          <w:left w:w="0" w:type="dxa"/>
          <w:bottom w:w="0" w:type="dxa"/>
          <w:right w:w="0" w:type="dxa"/>
        </w:tblCellMar>
      </w:tblPr>
      <w:tblGrid>
        <w:gridCol w:w="4666"/>
        <w:gridCol w:w="146"/>
        <w:gridCol w:w="502"/>
        <w:gridCol w:w="415"/>
        <w:gridCol w:w="212"/>
        <w:gridCol w:w="502"/>
        <w:gridCol w:w="482"/>
      </w:tblGrid>
      <w:tr>
        <w:trPr/>
        <w:tc>
          <w:tcPr>
            <w:tcW w:w="46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6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12" w:type="dxa"/>
            <w:tcBorders/>
            <w:vAlign w:val="bottom"/>
          </w:tcPr>
          <w:p>
            <w:pPr>
              <w:pStyle w:val="TableContents"/>
              <w:bidi w:val="0"/>
              <w:spacing w:before="0" w:after="283"/>
              <w:jc w:val="left"/>
              <w:rPr/>
            </w:pPr>
            <w:r>
              <w:rPr/>
              <w:t> </w:t>
            </w:r>
          </w:p>
        </w:tc>
        <w:tc>
          <w:tcPr>
            <w:tcW w:w="98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accounts receivable</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4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E</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41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2"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F</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41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2"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4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COMMITMENTS AND CONTINGENCIES</w:t>
      </w:r>
    </w:p>
    <w:p>
      <w:pPr>
        <w:pStyle w:val="TextBody"/>
        <w:keepNext w:val="true"/>
        <w:pageBreakBefore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SUBSEQUENT EVENTS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After this transaction, Soon Tai Lee became a shareholder of the Group and Soon Huat Lim still remain as ultimate controller of the Group. The Group has collected the consideration on January 26, 2023.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After this transaction, Yat Hong Lo became a shareholder of the Group and Soon Huat Lim still remain as ultimate controller of the Group. The Group has collected all the consideration on June 16, 2023.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evaluated subsequent events through the date of issuance of the consolidated financial statements, except for the events mentioned above the Group did not identify any subsequent events with material financial impact on the Group’s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5002"/>
      <w:bookmarkEnd w:id="36"/>
      <w:r>
        <w:rPr>
          <w:rFonts w:ascii="Times New Roman PS Std;serif" w:hAnsi="Times New Roman PS Std;serif"/>
          <w:b/>
          <w:i w:val="false"/>
          <w:caps w:val="false"/>
          <w:smallCaps w:val="false"/>
          <w:sz w:val="20"/>
        </w:rPr>
        <w:t>TRIDENT DIGITAL TECH HOLDINGS LTD</w:t>
        <w:br/>
        <w:t>CONDENSED CONSOLIDATED BALANCE SHEETS</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367"/>
        <w:gridCol w:w="146"/>
        <w:gridCol w:w="241"/>
        <w:gridCol w:w="1336"/>
        <w:gridCol w:w="196"/>
        <w:gridCol w:w="146"/>
        <w:gridCol w:w="241"/>
        <w:gridCol w:w="1291"/>
        <w:gridCol w:w="241"/>
      </w:tblGrid>
      <w:tr>
        <w:trPr/>
        <w:tc>
          <w:tcPr>
            <w:tcW w:w="636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9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6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 xml:space="preserve">2023 </w:t>
              <w:br/>
              <w:t>(Unaudited)</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3,965,607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74,554</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540,496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995,563</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166,436</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6,179,955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165,264</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106,718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1,521,638</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1,494,082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1,686,902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1,600,800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borrowings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137,130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135,360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137,416</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218,225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1,010,684</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654,063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due to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40,197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526,263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shareholders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7,590,421</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230,694</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303,730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current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378,056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277,699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9,524,598</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424,868</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498,572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1,143,582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1,190,287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1,568,450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1,688,859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11,093,048</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(par value $0.00001 per share; 1,000,000,000 Class A ordinary shares authorized, 50,000,000 and 50,000,000 Class A ordinary shares issued and outstanding as of June 30, 2023 and December 31, 2022, respectively; 4,000,000,000 Class B ordinary shares authorized, 360,205,000 and 360,205,000 Class B ordinary shares issued and outstanding as of June 30, 2023 and December 31, 2022, respectively.)*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(3,259,598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(1,323,341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(37,788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(3,226,191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5003"/>
      <w:bookmarkEnd w:id="37"/>
      <w:r>
        <w:rPr>
          <w:rFonts w:ascii="Times New Roman PS Std;serif" w:hAnsi="Times New Roman PS Std;serif"/>
          <w:b/>
          <w:i w:val="false"/>
          <w:caps w:val="false"/>
          <w:smallCaps w:val="false"/>
          <w:sz w:val="20"/>
        </w:rPr>
        <w:t>TRIDENT DIGITAL TECH HOLDINGS LTD</w:t>
        <w:br/>
        <w:t>UNAUDITED CONDENSED CONSOLIDATED STATEMENTS OF OPERATIONS AND COMPREHENSIVE LOSS</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382"/>
        <w:gridCol w:w="146"/>
        <w:gridCol w:w="241"/>
        <w:gridCol w:w="1306"/>
        <w:gridCol w:w="196"/>
        <w:gridCol w:w="146"/>
        <w:gridCol w:w="241"/>
        <w:gridCol w:w="1306"/>
        <w:gridCol w:w="241"/>
      </w:tblGrid>
      <w:tr>
        <w:trPr/>
        <w:tc>
          <w:tcPr>
            <w:tcW w:w="63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481,165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475,123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(389,569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(378,896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91,596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96,227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(253,343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(71,530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(1,551,710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(170,817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(192,855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(80,883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(1,997,908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(323,230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income/(expenses),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23,742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21,158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71,019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44,900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70,300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(1,861,412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(156,703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(1,861,412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(156,703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34,853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(1,826,559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(153,220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5004"/>
      <w:bookmarkEnd w:id="38"/>
      <w:r>
        <w:rPr>
          <w:rFonts w:ascii="Times New Roman PS Std;serif" w:hAnsi="Times New Roman PS Std;serif"/>
          <w:b/>
          <w:i w:val="false"/>
          <w:caps w:val="false"/>
          <w:smallCaps w:val="false"/>
          <w:sz w:val="20"/>
        </w:rPr>
        <w:t>TRIDENT DIGITAL TECH HOLDINGS LTD</w:t>
        <w:br/>
        <w:t>UNAUDITED CONDENSED CONSOLIDATED STATEMENTS OF CHANGES IN EQUITY/(DEFICIT)</w:t>
        <w:br/>
        <w:t>(In U.S. dollars, except for share and per share data, or otherwise noted)</w:t>
      </w:r>
    </w:p>
    <w:tbl>
      <w:tblPr>
        <w:tblW w:w="11485" w:type="dxa"/>
        <w:jc w:val="left"/>
        <w:tblInd w:w="0" w:type="dxa"/>
        <w:tblLayout w:type="fixed"/>
        <w:tblCellMar>
          <w:top w:w="0" w:type="dxa"/>
          <w:left w:w="0" w:type="dxa"/>
          <w:bottom w:w="0" w:type="dxa"/>
          <w:right w:w="0" w:type="dxa"/>
        </w:tblCellMar>
      </w:tblPr>
      <w:tblGrid>
        <w:gridCol w:w="1331"/>
        <w:gridCol w:w="146"/>
        <w:gridCol w:w="1336"/>
        <w:gridCol w:w="146"/>
        <w:gridCol w:w="226"/>
        <w:gridCol w:w="661"/>
        <w:gridCol w:w="146"/>
        <w:gridCol w:w="1048"/>
        <w:gridCol w:w="258"/>
        <w:gridCol w:w="146"/>
        <w:gridCol w:w="242"/>
        <w:gridCol w:w="839"/>
        <w:gridCol w:w="146"/>
        <w:gridCol w:w="226"/>
        <w:gridCol w:w="1171"/>
        <w:gridCol w:w="181"/>
        <w:gridCol w:w="146"/>
        <w:gridCol w:w="236"/>
        <w:gridCol w:w="895"/>
        <w:gridCol w:w="190"/>
        <w:gridCol w:w="146"/>
        <w:gridCol w:w="226"/>
        <w:gridCol w:w="1171"/>
        <w:gridCol w:w="226"/>
      </w:tblGrid>
      <w:tr>
        <w:trPr/>
        <w:tc>
          <w:tcPr>
            <w:tcW w:w="1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6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Ordinary share</w:t>
            </w:r>
          </w:p>
        </w:tc>
        <w:tc>
          <w:tcPr>
            <w:tcW w:w="146" w:type="dxa"/>
            <w:tcBorders/>
            <w:vAlign w:val="bottom"/>
          </w:tcPr>
          <w:p>
            <w:pPr>
              <w:pStyle w:val="TableContents"/>
              <w:bidi w:val="0"/>
              <w:spacing w:before="0" w:after="283"/>
              <w:jc w:val="left"/>
              <w:rPr/>
            </w:pPr>
            <w:r>
              <w:rPr/>
              <w:t> </w:t>
            </w:r>
          </w:p>
        </w:tc>
        <w:tc>
          <w:tcPr>
            <w:tcW w:w="130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Subscription </w:t>
              <w:br/>
              <w:t>receivable</w:t>
            </w:r>
          </w:p>
        </w:tc>
        <w:tc>
          <w:tcPr>
            <w:tcW w:w="146" w:type="dxa"/>
            <w:vMerge w:val="restart"/>
            <w:tcBorders/>
            <w:vAlign w:val="bottom"/>
          </w:tcPr>
          <w:p>
            <w:pPr>
              <w:pStyle w:val="TableContents"/>
              <w:bidi w:val="0"/>
              <w:spacing w:before="0" w:after="283"/>
              <w:jc w:val="left"/>
              <w:rPr/>
            </w:pPr>
            <w:r>
              <w:rPr/>
              <w:t> </w:t>
            </w:r>
          </w:p>
        </w:tc>
        <w:tc>
          <w:tcPr>
            <w:tcW w:w="108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Additional </w:t>
              <w:br/>
              <w:t xml:space="preserve">paid-in </w:t>
              <w:br/>
              <w:t>capita</w:t>
            </w:r>
          </w:p>
        </w:tc>
        <w:tc>
          <w:tcPr>
            <w:tcW w:w="146" w:type="dxa"/>
            <w:vMerge w:val="restart"/>
            <w:tcBorders/>
            <w:vAlign w:val="bottom"/>
          </w:tcPr>
          <w:p>
            <w:pPr>
              <w:pStyle w:val="TableContents"/>
              <w:bidi w:val="0"/>
              <w:spacing w:before="0" w:after="283"/>
              <w:jc w:val="left"/>
              <w:rPr/>
            </w:pPr>
            <w:r>
              <w:rPr/>
              <w:t> </w:t>
            </w:r>
          </w:p>
        </w:tc>
        <w:tc>
          <w:tcPr>
            <w:tcW w:w="1578"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Accumulated </w:t>
              <w:br/>
              <w:t>earnings/</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br/>
              <w:t>(deficit)</w:t>
            </w:r>
          </w:p>
        </w:tc>
        <w:tc>
          <w:tcPr>
            <w:tcW w:w="146" w:type="dxa"/>
            <w:vMerge w:val="restart"/>
            <w:tcBorders/>
            <w:vAlign w:val="bottom"/>
          </w:tcPr>
          <w:p>
            <w:pPr>
              <w:pStyle w:val="TableContents"/>
              <w:bidi w:val="0"/>
              <w:spacing w:before="0" w:after="283"/>
              <w:jc w:val="left"/>
              <w:rPr/>
            </w:pPr>
            <w:r>
              <w:rPr/>
              <w:t> </w:t>
            </w:r>
          </w:p>
        </w:tc>
        <w:tc>
          <w:tcPr>
            <w:tcW w:w="132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 xml:space="preserve">other </w:t>
              <w:br/>
              <w:t>(loss)/income</w:t>
            </w:r>
          </w:p>
        </w:tc>
        <w:tc>
          <w:tcPr>
            <w:tcW w:w="146" w:type="dxa"/>
            <w:vMerge w:val="restart"/>
            <w:tcBorders/>
            <w:vAlign w:val="bottom"/>
          </w:tcPr>
          <w:p>
            <w:pPr>
              <w:pStyle w:val="TableContents"/>
              <w:bidi w:val="0"/>
              <w:spacing w:before="0" w:after="283"/>
              <w:jc w:val="left"/>
              <w:rPr/>
            </w:pPr>
            <w:r>
              <w:rPr/>
              <w:t> </w:t>
            </w:r>
          </w:p>
        </w:tc>
        <w:tc>
          <w:tcPr>
            <w:tcW w:w="162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 xml:space="preserve">Shareholders’ </w:t>
              <w:br/>
              <w:t>equity/(deficit)</w:t>
            </w:r>
          </w:p>
        </w:tc>
      </w:tr>
      <w:tr>
        <w:trPr/>
        <w:tc>
          <w:tcPr>
            <w:tcW w:w="13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30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8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7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2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23" w:type="dxa"/>
            <w:gridSpan w:val="3"/>
            <w:vMerge w:val="continue"/>
            <w:tcBorders/>
            <w:vAlign w:val="bottom"/>
          </w:tcPr>
          <w:p>
            <w:pPr>
              <w:pStyle w:val="Normal"/>
              <w:bidi w:val="0"/>
              <w:jc w:val="left"/>
              <w:rPr/>
            </w:pPr>
            <w:r>
              <w:rPr/>
            </w:r>
          </w:p>
        </w:tc>
      </w:tr>
      <w:tr>
        <w:trPr/>
        <w:tc>
          <w:tcPr>
            <w:tcW w:w="1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as of December 31, 2021</w:t>
            </w:r>
          </w:p>
        </w:tc>
        <w:tc>
          <w:tcPr>
            <w:tcW w:w="146" w:type="dxa"/>
            <w:tcBorders/>
            <w:shd w:fill="CCEEFF" w:val="clear"/>
            <w:vAlign w:val="bottom"/>
          </w:tcPr>
          <w:p>
            <w:pPr>
              <w:pStyle w:val="TableContents"/>
              <w:bidi w:val="0"/>
              <w:spacing w:before="0" w:after="283"/>
              <w:jc w:val="left"/>
              <w:rPr/>
            </w:pPr>
            <w:r>
              <w:rPr/>
              <w:t> </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410,205,000</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6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w:t>
            </w:r>
          </w:p>
        </w:tc>
        <w:tc>
          <w:tcPr>
            <w:tcW w:w="146" w:type="dxa"/>
            <w:tcBorders/>
            <w:shd w:fill="CCEEFF" w:val="clear"/>
            <w:vAlign w:val="bottom"/>
          </w:tcPr>
          <w:p>
            <w:pPr>
              <w:pStyle w:val="TableContents"/>
              <w:bidi w:val="0"/>
              <w:spacing w:before="0" w:after="283"/>
              <w:jc w:val="left"/>
              <w:rPr/>
            </w:pPr>
            <w:r>
              <w:rPr/>
              <w:t> </w:t>
            </w:r>
          </w:p>
        </w:tc>
        <w:tc>
          <w:tcPr>
            <w:tcW w:w="10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w:t>
            </w:r>
          </w:p>
        </w:tc>
        <w:tc>
          <w:tcPr>
            <w:tcW w:w="25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4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8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76</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35,349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9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(306</w:t>
            </w:r>
          </w:p>
        </w:tc>
        <w:tc>
          <w:tcPr>
            <w:tcW w:w="19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35,119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(156,703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(156,703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Contribution from shareholders</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4,102</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32,164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36,266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Dividend distribution</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(229,201</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(229,201</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8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3,483</w:t>
            </w:r>
          </w:p>
        </w:tc>
        <w:tc>
          <w:tcPr>
            <w:tcW w:w="190"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as of June 30, 2022</w:t>
            </w:r>
          </w:p>
        </w:tc>
        <w:tc>
          <w:tcPr>
            <w:tcW w:w="146" w:type="dxa"/>
            <w:tcBorders/>
            <w:vAlign w:val="bottom"/>
          </w:tcPr>
          <w:p>
            <w:pPr>
              <w:pStyle w:val="TableContents"/>
              <w:bidi w:val="0"/>
              <w:spacing w:before="0" w:after="283"/>
              <w:jc w:val="left"/>
              <w:rPr/>
            </w:pPr>
            <w:r>
              <w:rPr/>
              <w:t> </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410,205,000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w:t>
            </w:r>
          </w:p>
        </w:tc>
        <w:tc>
          <w:tcPr>
            <w:tcW w:w="146" w:type="dxa"/>
            <w:tcBorders/>
            <w:vAlign w:val="bottom"/>
          </w:tcPr>
          <w:p>
            <w:pPr>
              <w:pStyle w:val="TableContents"/>
              <w:bidi w:val="0"/>
              <w:spacing w:before="0" w:after="283"/>
              <w:jc w:val="left"/>
              <w:rPr/>
            </w:pPr>
            <w:r>
              <w:rPr/>
              <w:t> </w:t>
            </w:r>
          </w:p>
        </w:tc>
        <w:tc>
          <w:tcPr>
            <w:tcW w:w="104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32,240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(350,555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3,177</w:t>
            </w:r>
          </w:p>
        </w:tc>
        <w:tc>
          <w:tcPr>
            <w:tcW w:w="1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(311,036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9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as of December 31, 2022</w:t>
            </w:r>
          </w:p>
        </w:tc>
        <w:tc>
          <w:tcPr>
            <w:tcW w:w="146" w:type="dxa"/>
            <w:tcBorders/>
            <w:vAlign w:val="bottom"/>
          </w:tcPr>
          <w:p>
            <w:pPr>
              <w:pStyle w:val="TableContents"/>
              <w:bidi w:val="0"/>
              <w:spacing w:before="0" w:after="283"/>
              <w:jc w:val="left"/>
              <w:rPr/>
            </w:pPr>
            <w:r>
              <w:rPr/>
              <w:t> </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410,205,000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w:t>
            </w:r>
          </w:p>
        </w:tc>
        <w:tc>
          <w:tcPr>
            <w:tcW w:w="146" w:type="dxa"/>
            <w:tcBorders/>
            <w:vAlign w:val="bottom"/>
          </w:tcPr>
          <w:p>
            <w:pPr>
              <w:pStyle w:val="TableContents"/>
              <w:bidi w:val="0"/>
              <w:spacing w:before="0" w:after="283"/>
              <w:jc w:val="left"/>
              <w:rPr/>
            </w:pPr>
            <w:r>
              <w:rPr/>
              <w:t> </w:t>
            </w:r>
          </w:p>
        </w:tc>
        <w:tc>
          <w:tcPr>
            <w:tcW w:w="104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83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32,240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(1,323,341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9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(37,788</w:t>
            </w:r>
          </w:p>
        </w:tc>
        <w:tc>
          <w:tcPr>
            <w:tcW w:w="19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(1,324,787</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(1,861,412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(1,861,412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Dividend distribution</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(74,845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(74,845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8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34,853</w:t>
            </w:r>
          </w:p>
        </w:tc>
        <w:tc>
          <w:tcPr>
            <w:tcW w:w="190"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34,853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as of June 30, 2023</w:t>
            </w:r>
          </w:p>
        </w:tc>
        <w:tc>
          <w:tcPr>
            <w:tcW w:w="146" w:type="dxa"/>
            <w:tcBorders/>
            <w:vAlign w:val="bottom"/>
          </w:tcPr>
          <w:p>
            <w:pPr>
              <w:pStyle w:val="TableContents"/>
              <w:bidi w:val="0"/>
              <w:spacing w:before="0" w:after="283"/>
              <w:jc w:val="left"/>
              <w:rPr/>
            </w:pPr>
            <w:r>
              <w:rPr/>
              <w:t> </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410,205,000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w:t>
            </w:r>
          </w:p>
        </w:tc>
        <w:tc>
          <w:tcPr>
            <w:tcW w:w="146" w:type="dxa"/>
            <w:tcBorders/>
            <w:vAlign w:val="bottom"/>
          </w:tcPr>
          <w:p>
            <w:pPr>
              <w:pStyle w:val="TableContents"/>
              <w:bidi w:val="0"/>
              <w:spacing w:before="0" w:after="283"/>
              <w:jc w:val="left"/>
              <w:rPr/>
            </w:pPr>
            <w:r>
              <w:rPr/>
              <w:t> </w:t>
            </w:r>
          </w:p>
        </w:tc>
        <w:tc>
          <w:tcPr>
            <w:tcW w:w="104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83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32,240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(3,259,598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9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(2,935</w:t>
            </w:r>
          </w:p>
        </w:tc>
        <w:tc>
          <w:tcPr>
            <w:tcW w:w="19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(3,226,191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5005"/>
      <w:bookmarkEnd w:id="39"/>
      <w:r>
        <w:rPr>
          <w:rFonts w:ascii="Times New Roman PS Std;serif" w:hAnsi="Times New Roman PS Std;serif"/>
          <w:b/>
          <w:i w:val="false"/>
          <w:caps w:val="false"/>
          <w:smallCaps w:val="false"/>
          <w:sz w:val="20"/>
        </w:rPr>
        <w:t>TRIDENT DIGITAL TECH HOLDINGS LTD</w:t>
        <w:br/>
        <w:t>UNAUDITED CONDENSED CONSOLIDATED STATEMENTS OF CASH FLOWS</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952"/>
        <w:gridCol w:w="146"/>
        <w:gridCol w:w="226"/>
        <w:gridCol w:w="1141"/>
        <w:gridCol w:w="181"/>
        <w:gridCol w:w="146"/>
        <w:gridCol w:w="226"/>
        <w:gridCol w:w="961"/>
        <w:gridCol w:w="226"/>
      </w:tblGrid>
      <w:tr>
        <w:trPr/>
        <w:tc>
          <w:tcPr>
            <w:tcW w:w="69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0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(2,380,926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(27,514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(79,043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(79,043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shareholders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7,065,861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of long-term bank loans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(67,159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(13,572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from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355,716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loans from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(845,200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to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(1,007,634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distribution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(74,845</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(106,219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5,426,739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(118,326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32,401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increase/(decrease) in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3,020,342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(113,439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period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period</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3,965,607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disclosures of non-cash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Obtaining right-of-use assets in exchange for operating lease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27,556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215,369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 (Note 12)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5006"/>
      <w:bookmarkEnd w:id="40"/>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AND PRINCIPAL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Holdings Ltd (the “Company”) and its subsidiaries (collectively referred to as the “Group”) are principally engaged in the provision of business consulting service and IT customization solutions in the Republic of Singapore (the “Singapore”).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Basis of presentation and principles of consolidation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 Certain information and footnote disclosures, which are normally included in annual financial statements prepared in accordance with US GAAP, have been omitted pursuant to those rules and regulations. The unaudited interim financial information should be read in conjunction with the audited financial statements and the notes thereto, included in the registration statements for the fiscal years ended December 31, 2022 and 2021.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opinion of the management, the accompanying unaudited condensed consolidated financial statements reflect all normal recurring adjustments, which are necessary for a fair statement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2022. The results of operations for the six months ended June 30, 2023 are not necessarily indicative of the results for the full year.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stated at the original amount less an allowance for doubtful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 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provision of allowance for doubtful accounts as of June 30, 2023 and December 31,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false"/>
        <w:pageBreakBefore w:val="false"/>
        <w:widowControl/>
        <w:pBdr/>
        <w:bidi w:val="0"/>
        <w:spacing w:before="240" w:after="200"/>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SUMMARY OF SIGNIFICANT ACCOUNTING POLICIES</w:t>
      </w:r>
      <w:r>
        <w:rPr>
          <w:rFonts w:ascii="Times New Roman PS Std;serif" w:hAnsi="Times New Roman PS Std;serif"/>
          <w:b w:val="false"/>
          <w:i w:val="false"/>
          <w:caps w:val="false"/>
          <w:smallCaps w:val="false"/>
          <w:sz w:val="20"/>
        </w:rPr>
        <w:t xml:space="preserve"> (cont.)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Revenue recognition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derives its revenues principally from providing business consulting service and IT customization 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recognition policies for each type of revenue stream are as follows: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Business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IT customization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IT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series of IT consulting service which is interrelated as one promise to develop customized software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revenue is recognized at a point in time when the customized software solution is successfully completed, delivered and accepted by customers.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false"/>
        <w:pageBreakBefore w:val="false"/>
        <w:widowControl/>
        <w:pBdr/>
        <w:bidi w:val="0"/>
        <w:spacing w:before="240" w:after="200"/>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SUMMARY OF SIGNIFICANT ACCOUNTING POLICIES</w:t>
      </w:r>
      <w:r>
        <w:rPr>
          <w:rFonts w:ascii="Times New Roman PS Std;serif" w:hAnsi="Times New Roman PS Std;serif"/>
          <w:b w:val="false"/>
          <w:i w:val="false"/>
          <w:caps w:val="false"/>
          <w:smallCaps w:val="false"/>
          <w:sz w:val="20"/>
        </w:rPr>
        <w:t xml:space="preserve"> (cont.)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Management software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offers a range of management software solutions to customers via an annual subscription-based model, and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payment is made by the customers in advance, and not subject to any variable consideration, refund, cancellation or termination provision. No significant financing component, noncash payment identified in the arrangements with customers.</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Revenue by categories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disaggregates the Group’s revenue categories for the six months ended June 30, 2023 and 2022:</w:t>
      </w:r>
    </w:p>
    <w:tbl>
      <w:tblPr>
        <w:tblW w:w="6130" w:type="dxa"/>
        <w:jc w:val="left"/>
        <w:tblInd w:w="0" w:type="dxa"/>
        <w:tblLayout w:type="fixed"/>
        <w:tblCellMar>
          <w:top w:w="0" w:type="dxa"/>
          <w:left w:w="0" w:type="dxa"/>
          <w:bottom w:w="0" w:type="dxa"/>
          <w:right w:w="0" w:type="dxa"/>
        </w:tblCellMar>
      </w:tblPr>
      <w:tblGrid>
        <w:gridCol w:w="3151"/>
        <w:gridCol w:w="146"/>
        <w:gridCol w:w="257"/>
        <w:gridCol w:w="1058"/>
        <w:gridCol w:w="155"/>
        <w:gridCol w:w="257"/>
        <w:gridCol w:w="1106"/>
      </w:tblGrid>
      <w:tr>
        <w:trPr/>
        <w:tc>
          <w:tcPr>
            <w:tcW w:w="31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55"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consulting service</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113,764</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192,513</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customization</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367,401</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282,610</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IT consulting</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130,289</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272,874</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Management software</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237,112</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9,736</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shd w:fill="CCEEFF" w:val="clear"/>
            <w:vAlign w:val="bottom"/>
          </w:tcPr>
          <w:p>
            <w:pPr>
              <w:pStyle w:val="TableContents"/>
              <w:bidi w:val="0"/>
              <w:spacing w:before="0" w:after="283"/>
              <w:jc w:val="left"/>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481,165</w:t>
            </w:r>
          </w:p>
        </w:tc>
        <w:tc>
          <w:tcPr>
            <w:tcW w:w="155" w:type="dxa"/>
            <w:tcBorders/>
            <w:shd w:fill="CCEEFF" w:val="clear"/>
            <w:vAlign w:val="bottom"/>
          </w:tcPr>
          <w:p>
            <w:pPr>
              <w:pStyle w:val="TableContents"/>
              <w:bidi w:val="0"/>
              <w:spacing w:before="0" w:after="283"/>
              <w:jc w:val="left"/>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475,123</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Contract balances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$540,496 and $268,509 as of June 30, 2023 and December 31, 2022,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end of each reporting period. The Group’s deferred revenue was $1,010,684 and $654,063 as of June 30, 2023 and December 31, 2022, respectively. The revenue recognized for the six months ended June 30, 2023 and for the year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false"/>
        <w:pageBreakBefore w:val="false"/>
        <w:widowControl/>
        <w:pBdr/>
        <w:bidi w:val="0"/>
        <w:spacing w:before="240" w:after="200"/>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SUMMARY OF SIGNIFICANT ACCOUNTING POLICIES</w:t>
      </w:r>
      <w:r>
        <w:rPr>
          <w:rFonts w:ascii="Times New Roman PS Std;serif" w:hAnsi="Times New Roman PS Std;serif"/>
          <w:b w:val="false"/>
          <w:i w:val="false"/>
          <w:caps w:val="false"/>
          <w:smallCaps w:val="false"/>
          <w:sz w:val="20"/>
        </w:rPr>
        <w:t xml:space="preserve"> (cont.)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ended December 31, 2022 that was included in the contract liability balance at the beginning of the period were $292,778 and $173,852, respectively. All unsatisfied performance obligation will be performed within the next twelve months and no significant financing component is involved.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accounts receivable and deferred revenue, the Group had no other material contract assets or contract liabilities recorded on its consolidated balance sheets as of June 30, 2023 and December 31, 2022.</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Foreign currency transactions and translations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of foreign currencies into US$1 have been made at the following exchange rates for the respective periods:</w:t>
      </w:r>
    </w:p>
    <w:tbl>
      <w:tblPr>
        <w:tblW w:w="7735" w:type="dxa"/>
        <w:jc w:val="left"/>
        <w:tblInd w:w="0" w:type="dxa"/>
        <w:tblLayout w:type="fixed"/>
        <w:tblCellMar>
          <w:top w:w="0" w:type="dxa"/>
          <w:left w:w="0" w:type="dxa"/>
          <w:bottom w:w="0" w:type="dxa"/>
          <w:right w:w="0" w:type="dxa"/>
        </w:tblCellMar>
      </w:tblPr>
      <w:tblGrid>
        <w:gridCol w:w="4831"/>
        <w:gridCol w:w="146"/>
        <w:gridCol w:w="991"/>
        <w:gridCol w:w="146"/>
        <w:gridCol w:w="162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sheet items, except for equity accounts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1.3523</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1.3404</w:t>
            </w:r>
          </w:p>
        </w:tc>
      </w:tr>
    </w:tbl>
    <w:tbl>
      <w:tblPr>
        <w:tblW w:w="9776" w:type="dxa"/>
        <w:jc w:val="left"/>
        <w:tblInd w:w="0" w:type="dxa"/>
        <w:tblLayout w:type="fixed"/>
        <w:tblCellMar>
          <w:top w:w="0" w:type="dxa"/>
          <w:left w:w="0" w:type="dxa"/>
          <w:bottom w:w="0" w:type="dxa"/>
          <w:right w:w="0" w:type="dxa"/>
        </w:tblCellMar>
      </w:tblPr>
      <w:tblGrid>
        <w:gridCol w:w="6796"/>
        <w:gridCol w:w="146"/>
        <w:gridCol w:w="1260"/>
        <w:gridCol w:w="240"/>
        <w:gridCol w:w="1334"/>
      </w:tblGrid>
      <w:tr>
        <w:trPr/>
        <w:tc>
          <w:tcPr>
            <w:tcW w:w="67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6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240" w:type="dxa"/>
            <w:tcBorders/>
            <w:vAlign w:val="bottom"/>
          </w:tcPr>
          <w:p>
            <w:pPr>
              <w:pStyle w:val="TableContents"/>
              <w:bidi w:val="0"/>
              <w:spacing w:before="0" w:after="283"/>
              <w:jc w:val="left"/>
              <w:rPr/>
            </w:pPr>
            <w:r>
              <w:rPr/>
              <w:t> </w:t>
            </w:r>
          </w:p>
        </w:tc>
        <w:tc>
          <w:tcPr>
            <w:tcW w:w="133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Items in the statements of income and comprehensive income, and </w:t>
              <w:br/>
              <w:t>statements of cash flows</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1.3361</w:t>
            </w:r>
          </w:p>
        </w:tc>
        <w:tc>
          <w:tcPr>
            <w:tcW w:w="240"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1.3651</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false"/>
        <w:pageBreakBefore w:val="false"/>
        <w:widowControl/>
        <w:pBdr/>
        <w:bidi w:val="0"/>
        <w:spacing w:before="240" w:after="200"/>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SUMMARY OF SIGNIFICANT ACCOUNTING POLICIES</w:t>
      </w:r>
      <w:r>
        <w:rPr>
          <w:rFonts w:ascii="Times New Roman PS Std;serif" w:hAnsi="Times New Roman PS Std;serif"/>
          <w:b w:val="false"/>
          <w:i w:val="false"/>
          <w:caps w:val="false"/>
          <w:smallCaps w:val="false"/>
          <w:sz w:val="20"/>
        </w:rPr>
        <w:t xml:space="preserve"> (cont.)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     Deferred offering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consist of legal, consulting, underwriting fees and other costs incurred through the balance sheet date that are directly related to the proposed public offering and certain private equity financing transaction. These costs, together with the underwriting discounts and commissions, will be charged to additional paid-in capital, net against the gross proceeds, upon completion of the proposed public offering. Should the proposed public offering prove to be unsuccessful, these deferred costs, as well as additional expenses to be incurred, will be charged to operations.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    Recent accounting pronouncements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discuss recent standards that are not anticipated to have an impact on or are unrelated to its consolidated financial condition, results of operations, cash flows or disclosures.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consisted of the following:</w:t>
      </w:r>
    </w:p>
    <w:tbl>
      <w:tblPr>
        <w:tblW w:w="6160" w:type="dxa"/>
        <w:jc w:val="left"/>
        <w:tblInd w:w="0" w:type="dxa"/>
        <w:tblLayout w:type="fixed"/>
        <w:tblCellMar>
          <w:top w:w="0" w:type="dxa"/>
          <w:left w:w="0" w:type="dxa"/>
          <w:bottom w:w="0" w:type="dxa"/>
          <w:right w:w="0" w:type="dxa"/>
        </w:tblCellMar>
      </w:tblPr>
      <w:tblGrid>
        <w:gridCol w:w="3256"/>
        <w:gridCol w:w="146"/>
        <w:gridCol w:w="226"/>
        <w:gridCol w:w="766"/>
        <w:gridCol w:w="146"/>
        <w:gridCol w:w="353"/>
        <w:gridCol w:w="1267"/>
      </w:tblGrid>
      <w:tr>
        <w:trPr/>
        <w:tc>
          <w:tcPr>
            <w:tcW w:w="32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5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32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74,554</w:t>
            </w:r>
          </w:p>
        </w:tc>
        <w:tc>
          <w:tcPr>
            <w:tcW w:w="146"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74,554</w:t>
            </w:r>
          </w:p>
        </w:tc>
        <w:tc>
          <w:tcPr>
            <w:tcW w:w="146" w:type="dxa"/>
            <w:tcBorders/>
            <w:shd w:fill="CCEEFF" w:val="clear"/>
            <w:vAlign w:val="bottom"/>
          </w:tcPr>
          <w:p>
            <w:pPr>
              <w:pStyle w:val="TableContents"/>
              <w:bidi w:val="0"/>
              <w:spacing w:before="0" w:after="283"/>
              <w:jc w:val="left"/>
              <w:rPr/>
            </w:pPr>
            <w:r>
              <w:rPr/>
              <w:t> </w:t>
            </w:r>
          </w:p>
        </w:tc>
        <w:tc>
          <w:tcPr>
            <w:tcW w:w="3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r>
    </w:tbl>
    <w:p>
      <w:pPr>
        <w:pStyle w:val="TextBody"/>
        <w:keepNext w:val="false"/>
        <w:pageBreakBefore w:val="false"/>
        <w:widowControl/>
        <w:pBdr/>
        <w:bidi w:val="0"/>
        <w:spacing w:before="2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recorded nil bad debt expense for the six months ended June 30, 2023 and 2022.</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PREPAID EXPENSES AND OTHER CURRENT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 consisted of the following:</w:t>
      </w:r>
    </w:p>
    <w:tbl>
      <w:tblPr>
        <w:tblW w:w="7855" w:type="dxa"/>
        <w:jc w:val="left"/>
        <w:tblInd w:w="0" w:type="dxa"/>
        <w:tblLayout w:type="fixed"/>
        <w:tblCellMar>
          <w:top w:w="0" w:type="dxa"/>
          <w:left w:w="0" w:type="dxa"/>
          <w:bottom w:w="0" w:type="dxa"/>
          <w:right w:w="0" w:type="dxa"/>
        </w:tblCellMar>
      </w:tblPr>
      <w:tblGrid>
        <w:gridCol w:w="4831"/>
        <w:gridCol w:w="146"/>
        <w:gridCol w:w="226"/>
        <w:gridCol w:w="886"/>
        <w:gridCol w:w="146"/>
        <w:gridCol w:w="315"/>
        <w:gridCol w:w="1305"/>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7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48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86,821</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66,719</w:t>
            </w:r>
          </w:p>
        </w:tc>
      </w:tr>
      <w:tr>
        <w:trPr/>
        <w:tc>
          <w:tcPr>
            <w:tcW w:w="48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prepayment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53,994</w:t>
            </w:r>
          </w:p>
        </w:tc>
        <w:tc>
          <w:tcPr>
            <w:tcW w:w="146" w:type="dxa"/>
            <w:tcBorders/>
            <w:vAlign w:val="bottom"/>
          </w:tcPr>
          <w:p>
            <w:pPr>
              <w:pStyle w:val="TableContents"/>
              <w:bidi w:val="0"/>
              <w:spacing w:before="0" w:after="283"/>
              <w:jc w:val="left"/>
              <w:rPr/>
            </w:pPr>
            <w:r>
              <w:rPr/>
              <w:t> </w:t>
            </w:r>
          </w:p>
        </w:tc>
        <w:tc>
          <w:tcPr>
            <w:tcW w:w="3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32,538</w:t>
            </w:r>
          </w:p>
        </w:tc>
      </w:tr>
      <w:tr>
        <w:trPr/>
        <w:tc>
          <w:tcPr>
            <w:tcW w:w="48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25,621</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42,594</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prepaid expenses and other current assets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166,436</w:t>
            </w:r>
          </w:p>
        </w:tc>
        <w:tc>
          <w:tcPr>
            <w:tcW w:w="146" w:type="dxa"/>
            <w:tcBorders/>
            <w:vAlign w:val="bottom"/>
          </w:tcPr>
          <w:p>
            <w:pPr>
              <w:pStyle w:val="TableContents"/>
              <w:bidi w:val="0"/>
              <w:spacing w:before="0" w:after="283"/>
              <w:jc w:val="left"/>
              <w:rPr/>
            </w:pPr>
            <w:r>
              <w:rPr/>
              <w:t> </w:t>
            </w:r>
          </w:p>
        </w:tc>
        <w:tc>
          <w:tcPr>
            <w:tcW w:w="3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PROPERTY AND EQUIPMENT,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consisted of the following:</w:t>
      </w:r>
    </w:p>
    <w:tbl>
      <w:tblPr>
        <w:tblW w:w="7960" w:type="dxa"/>
        <w:jc w:val="left"/>
        <w:tblInd w:w="0" w:type="dxa"/>
        <w:tblLayout w:type="fixed"/>
        <w:tblCellMar>
          <w:top w:w="0" w:type="dxa"/>
          <w:left w:w="0" w:type="dxa"/>
          <w:bottom w:w="0" w:type="dxa"/>
          <w:right w:w="0" w:type="dxa"/>
        </w:tblCellMar>
      </w:tblPr>
      <w:tblGrid>
        <w:gridCol w:w="4936"/>
        <w:gridCol w:w="146"/>
        <w:gridCol w:w="226"/>
        <w:gridCol w:w="886"/>
        <w:gridCol w:w="146"/>
        <w:gridCol w:w="315"/>
        <w:gridCol w:w="1305"/>
      </w:tblGrid>
      <w:tr>
        <w:trPr/>
        <w:tc>
          <w:tcPr>
            <w:tcW w:w="49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7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4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21,896</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22,091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electric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62,635</w:t>
            </w:r>
          </w:p>
        </w:tc>
        <w:tc>
          <w:tcPr>
            <w:tcW w:w="146" w:type="dxa"/>
            <w:tcBorders/>
            <w:vAlign w:val="bottom"/>
          </w:tcPr>
          <w:p>
            <w:pPr>
              <w:pStyle w:val="TableContents"/>
              <w:bidi w:val="0"/>
              <w:spacing w:before="0" w:after="283"/>
              <w:jc w:val="left"/>
              <w:rPr/>
            </w:pPr>
            <w:r>
              <w:rPr/>
              <w:t> </w:t>
            </w:r>
          </w:p>
        </w:tc>
        <w:tc>
          <w:tcPr>
            <w:tcW w:w="3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47,531</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121,869</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59,822</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206,400</w:t>
            </w:r>
          </w:p>
        </w:tc>
        <w:tc>
          <w:tcPr>
            <w:tcW w:w="146" w:type="dxa"/>
            <w:tcBorders/>
            <w:vAlign w:val="bottom"/>
          </w:tcPr>
          <w:p>
            <w:pPr>
              <w:pStyle w:val="TableContents"/>
              <w:bidi w:val="0"/>
              <w:spacing w:before="0" w:after="283"/>
              <w:jc w:val="left"/>
              <w:rPr/>
            </w:pPr>
            <w:r>
              <w:rPr/>
              <w:t> </w:t>
            </w:r>
          </w:p>
        </w:tc>
        <w:tc>
          <w:tcPr>
            <w:tcW w:w="3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129,444</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 and amortization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41,136</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22,726</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165,264</w:t>
            </w:r>
          </w:p>
        </w:tc>
        <w:tc>
          <w:tcPr>
            <w:tcW w:w="146" w:type="dxa"/>
            <w:tcBorders/>
            <w:vAlign w:val="bottom"/>
          </w:tcPr>
          <w:p>
            <w:pPr>
              <w:pStyle w:val="TableContents"/>
              <w:bidi w:val="0"/>
              <w:spacing w:before="0" w:after="283"/>
              <w:jc w:val="left"/>
              <w:rPr/>
            </w:pPr>
            <w:r>
              <w:rPr/>
              <w:t> </w:t>
            </w:r>
          </w:p>
        </w:tc>
        <w:tc>
          <w:tcPr>
            <w:tcW w:w="3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106,718</w:t>
            </w:r>
          </w:p>
        </w:tc>
      </w:tr>
    </w:tbl>
    <w:p>
      <w:pPr>
        <w:pStyle w:val="TextBody"/>
        <w:keepNext w:val="false"/>
        <w:pageBreakBefore w:val="false"/>
        <w:widowControl/>
        <w:pBdr/>
        <w:bidi w:val="0"/>
        <w:spacing w:before="2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were $18,837 and $5,663 for the six months ended June 30, 2023 and 2022,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did not record any impairment charge for the six months ended June 30, 2023 and 2022.</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ACCRUED EXPENSES AND OTHER CURRENT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 consisted of the following:</w:t>
      </w:r>
    </w:p>
    <w:tbl>
      <w:tblPr>
        <w:tblW w:w="8155" w:type="dxa"/>
        <w:jc w:val="left"/>
        <w:tblInd w:w="0" w:type="dxa"/>
        <w:tblLayout w:type="fixed"/>
        <w:tblCellMar>
          <w:top w:w="0" w:type="dxa"/>
          <w:left w:w="0" w:type="dxa"/>
          <w:bottom w:w="0" w:type="dxa"/>
          <w:right w:w="0" w:type="dxa"/>
        </w:tblCellMar>
      </w:tblPr>
      <w:tblGrid>
        <w:gridCol w:w="5131"/>
        <w:gridCol w:w="146"/>
        <w:gridCol w:w="226"/>
        <w:gridCol w:w="886"/>
        <w:gridCol w:w="146"/>
        <w:gridCol w:w="315"/>
        <w:gridCol w:w="1305"/>
      </w:tblGrid>
      <w:tr>
        <w:trPr/>
        <w:tc>
          <w:tcPr>
            <w:tcW w:w="51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7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51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5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GST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14,231</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23,386</w:t>
            </w:r>
          </w:p>
        </w:tc>
      </w:tr>
      <w:tr>
        <w:trPr/>
        <w:tc>
          <w:tcPr>
            <w:tcW w:w="5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216,463</w:t>
            </w:r>
          </w:p>
        </w:tc>
        <w:tc>
          <w:tcPr>
            <w:tcW w:w="146" w:type="dxa"/>
            <w:tcBorders/>
            <w:vAlign w:val="bottom"/>
          </w:tcPr>
          <w:p>
            <w:pPr>
              <w:pStyle w:val="TableContents"/>
              <w:bidi w:val="0"/>
              <w:spacing w:before="0" w:after="283"/>
              <w:jc w:val="left"/>
              <w:rPr/>
            </w:pPr>
            <w:r>
              <w:rPr/>
              <w:t> </w:t>
            </w:r>
          </w:p>
        </w:tc>
        <w:tc>
          <w:tcPr>
            <w:tcW w:w="3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120,185</w:t>
            </w:r>
          </w:p>
        </w:tc>
      </w:tr>
      <w:tr>
        <w:trPr/>
        <w:tc>
          <w:tcPr>
            <w:tcW w:w="5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160,159</w:t>
            </w:r>
          </w:p>
        </w:tc>
      </w:tr>
      <w:tr>
        <w:trPr/>
        <w:tc>
          <w:tcPr>
            <w:tcW w:w="5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accrued expenses and other current liabilities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230,694</w:t>
            </w:r>
          </w:p>
        </w:tc>
        <w:tc>
          <w:tcPr>
            <w:tcW w:w="146" w:type="dxa"/>
            <w:tcBorders/>
            <w:vAlign w:val="bottom"/>
          </w:tcPr>
          <w:p>
            <w:pPr>
              <w:pStyle w:val="TableContents"/>
              <w:bidi w:val="0"/>
              <w:spacing w:before="0" w:after="283"/>
              <w:jc w:val="left"/>
              <w:rPr/>
            </w:pPr>
            <w:r>
              <w:rPr/>
              <w:t> </w:t>
            </w:r>
          </w:p>
        </w:tc>
        <w:tc>
          <w:tcPr>
            <w:tcW w:w="3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303,730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mainly consisted of reimbursement payable to employees and miscellaneous fees payable to third parties.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SUBSCRIPTION FEES ADVANCE FROM A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recognized the received $499,990 (reflected as $519,943 at period end due to exchange rate) from Stone Wealth in advance as equity when the Group complete its reorganization and by issuing 24,795,000 Class B Ordinary Shares on July 4,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The Group recognized the received $3,000,000 (reflected as $3,135,167 at period end due to exchange rate) subscription fees advance from a shareholder as equity when the Group complete its reorganization and by issuing 45,000,000 Class B Ordinary Shares on July 4,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The Group recognized received $4,000,000 (reflected as $3,935,311 at period end due to exchange rate) subscription fees advance from a shareholder as equity when the Group complete its reorganization and by issuing 20,000,000 Class B Ordinary Shares on July 4,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LEASES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lease cost recognized in the Group’s consolidated and combined statements of operations and comprehensive loss is as follows:</w:t>
      </w:r>
    </w:p>
    <w:tbl>
      <w:tblPr>
        <w:tblW w:w="8831" w:type="dxa"/>
        <w:jc w:val="left"/>
        <w:tblInd w:w="0" w:type="dxa"/>
        <w:tblLayout w:type="fixed"/>
        <w:tblCellMar>
          <w:top w:w="0" w:type="dxa"/>
          <w:left w:w="0" w:type="dxa"/>
          <w:bottom w:w="0" w:type="dxa"/>
          <w:right w:w="0" w:type="dxa"/>
        </w:tblCellMar>
      </w:tblPr>
      <w:tblGrid>
        <w:gridCol w:w="5851"/>
        <w:gridCol w:w="146"/>
        <w:gridCol w:w="279"/>
        <w:gridCol w:w="1094"/>
        <w:gridCol w:w="180"/>
        <w:gridCol w:w="279"/>
        <w:gridCol w:w="1002"/>
      </w:tblGrid>
      <w:tr>
        <w:trPr/>
        <w:tc>
          <w:tcPr>
            <w:tcW w:w="58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5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7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80" w:type="dxa"/>
            <w:tcBorders/>
            <w:vAlign w:val="bottom"/>
          </w:tcPr>
          <w:p>
            <w:pPr>
              <w:pStyle w:val="TableContents"/>
              <w:bidi w:val="0"/>
              <w:spacing w:before="0" w:after="283"/>
              <w:jc w:val="left"/>
              <w:rPr/>
            </w:pPr>
            <w:r>
              <w:rPr/>
              <w:t> </w:t>
            </w:r>
          </w:p>
        </w:tc>
        <w:tc>
          <w:tcPr>
            <w:tcW w:w="128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leases cost excluding short-term rental expense</w:t>
            </w:r>
          </w:p>
        </w:tc>
        <w:tc>
          <w:tcPr>
            <w:tcW w:w="146"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200,142</w:t>
            </w:r>
          </w:p>
        </w:tc>
        <w:tc>
          <w:tcPr>
            <w:tcW w:w="18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16,043</w:t>
            </w:r>
          </w:p>
        </w:tc>
      </w:tr>
      <w:tr>
        <w:trPr/>
        <w:tc>
          <w:tcPr>
            <w:tcW w:w="5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180"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200,292</w:t>
            </w:r>
          </w:p>
        </w:tc>
        <w:tc>
          <w:tcPr>
            <w:tcW w:w="180" w:type="dxa"/>
            <w:tcBorders/>
            <w:shd w:fill="CCEEFF" w:val="clear"/>
            <w:vAlign w:val="bottom"/>
          </w:tcPr>
          <w:p>
            <w:pPr>
              <w:pStyle w:val="TableContents"/>
              <w:bidi w:val="0"/>
              <w:spacing w:before="0" w:after="283"/>
              <w:jc w:val="left"/>
              <w:rPr/>
            </w:pPr>
            <w:r>
              <w:rPr/>
              <w:t> </w:t>
            </w:r>
          </w:p>
        </w:tc>
        <w:tc>
          <w:tcPr>
            <w:tcW w:w="2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17,874</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2023 and December 31, 2022, the weighted average remaining lease term was 3.92 years and 4.53 years, respectively, and the weighted average discount rate was 5.0% and 5.0% for the Group’s operating leases,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maturity of lease liabilities under operating leases as of June 30, 2023:</w:t>
      </w:r>
    </w:p>
    <w:tbl>
      <w:tblPr>
        <w:tblW w:w="4109" w:type="dxa"/>
        <w:jc w:val="left"/>
        <w:tblInd w:w="0" w:type="dxa"/>
        <w:tblLayout w:type="fixed"/>
        <w:tblCellMar>
          <w:top w:w="0" w:type="dxa"/>
          <w:left w:w="0" w:type="dxa"/>
          <w:bottom w:w="0" w:type="dxa"/>
          <w:right w:w="0" w:type="dxa"/>
        </w:tblCellMar>
      </w:tblPr>
      <w:tblGrid>
        <w:gridCol w:w="2491"/>
        <w:gridCol w:w="146"/>
        <w:gridCol w:w="226"/>
        <w:gridCol w:w="1246"/>
      </w:tblGrid>
      <w:tr>
        <w:trPr/>
        <w:tc>
          <w:tcPr>
            <w:tcW w:w="24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Operating </w:t>
              <w:br/>
              <w:t>Leases</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215,285</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445,552</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427,228</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364,534</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225,793</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lease payments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1,678,392</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156,754</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1,521,638</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378,056</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portion</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1,143,582</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TAXATION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incorporated in the Cayman Islands. Under the current laws of the Cayman Islands, the Company is not subject to income or capital gains taxes. In addition, dividend payments are not subject to withholdings tax in the Cayman Islands.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Pte. Ltd. and Quality Zone Technologies Pte. Ltd. are located in Singapore and are subject to 17% statutory income tax rate with respect to the profit generated from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tax provision consisted of the following components:</w:t>
      </w:r>
    </w:p>
    <w:tbl>
      <w:tblPr>
        <w:tblW w:w="6101" w:type="dxa"/>
        <w:jc w:val="left"/>
        <w:tblInd w:w="0" w:type="dxa"/>
        <w:tblLayout w:type="fixed"/>
        <w:tblCellMar>
          <w:top w:w="0" w:type="dxa"/>
          <w:left w:w="0" w:type="dxa"/>
          <w:bottom w:w="0" w:type="dxa"/>
          <w:right w:w="0" w:type="dxa"/>
        </w:tblCellMar>
      </w:tblPr>
      <w:tblGrid>
        <w:gridCol w:w="3121"/>
        <w:gridCol w:w="146"/>
        <w:gridCol w:w="479"/>
        <w:gridCol w:w="733"/>
        <w:gridCol w:w="308"/>
        <w:gridCol w:w="479"/>
        <w:gridCol w:w="835"/>
      </w:tblGrid>
      <w:tr>
        <w:trPr/>
        <w:tc>
          <w:tcPr>
            <w:tcW w:w="31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3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308"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income tax expenses</w:t>
            </w:r>
          </w:p>
        </w:tc>
        <w:tc>
          <w:tcPr>
            <w:tcW w:w="146"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8"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 expenses</w:t>
            </w:r>
          </w:p>
        </w:tc>
        <w:tc>
          <w:tcPr>
            <w:tcW w:w="146" w:type="dxa"/>
            <w:tcBorders/>
            <w:vAlign w:val="bottom"/>
          </w:tcPr>
          <w:p>
            <w:pPr>
              <w:pStyle w:val="TableContents"/>
              <w:bidi w:val="0"/>
              <w:spacing w:before="0" w:after="283"/>
              <w:jc w:val="left"/>
              <w:rPr/>
            </w:pPr>
            <w:r>
              <w:rPr/>
              <w:t> </w:t>
            </w:r>
          </w:p>
        </w:tc>
        <w:tc>
          <w:tcPr>
            <w:tcW w:w="4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8" w:type="dxa"/>
            <w:tcBorders/>
            <w:vAlign w:val="bottom"/>
          </w:tcPr>
          <w:p>
            <w:pPr>
              <w:pStyle w:val="TableContents"/>
              <w:bidi w:val="0"/>
              <w:spacing w:before="0" w:after="283"/>
              <w:jc w:val="left"/>
              <w:rPr/>
            </w:pPr>
            <w:r>
              <w:rPr/>
              <w:t> </w:t>
            </w:r>
          </w:p>
        </w:tc>
        <w:tc>
          <w:tcPr>
            <w:tcW w:w="4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income tax expenses</w:t>
            </w:r>
          </w:p>
        </w:tc>
        <w:tc>
          <w:tcPr>
            <w:tcW w:w="146" w:type="dxa"/>
            <w:tcBorders/>
            <w:shd w:fill="CCEEFF" w:val="clear"/>
            <w:vAlign w:val="bottom"/>
          </w:tcPr>
          <w:p>
            <w:pPr>
              <w:pStyle w:val="TableContents"/>
              <w:bidi w:val="0"/>
              <w:spacing w:before="0" w:after="283"/>
              <w:jc w:val="left"/>
              <w:rPr/>
            </w:pPr>
            <w:r>
              <w:rPr/>
              <w:t> </w:t>
            </w:r>
          </w:p>
        </w:tc>
        <w:tc>
          <w:tcPr>
            <w:tcW w:w="4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8" w:type="dxa"/>
            <w:tcBorders/>
            <w:shd w:fill="CCEEFF" w:val="clear"/>
            <w:vAlign w:val="bottom"/>
          </w:tcPr>
          <w:p>
            <w:pPr>
              <w:pStyle w:val="TableContents"/>
              <w:bidi w:val="0"/>
              <w:spacing w:before="0" w:after="283"/>
              <w:jc w:val="left"/>
              <w:rPr/>
            </w:pPr>
            <w:r>
              <w:rPr/>
              <w:t> </w:t>
            </w:r>
          </w:p>
        </w:tc>
        <w:tc>
          <w:tcPr>
            <w:tcW w:w="4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between the Group’s actual provision for income taxes and the provision at the SG, mainland statutory rate is as follows:</w:t>
      </w:r>
    </w:p>
    <w:tbl>
      <w:tblPr>
        <w:tblW w:w="8714" w:type="dxa"/>
        <w:jc w:val="left"/>
        <w:tblInd w:w="0" w:type="dxa"/>
        <w:tblLayout w:type="fixed"/>
        <w:tblCellMar>
          <w:top w:w="0" w:type="dxa"/>
          <w:left w:w="0" w:type="dxa"/>
          <w:bottom w:w="0" w:type="dxa"/>
          <w:right w:w="0" w:type="dxa"/>
        </w:tblCellMar>
      </w:tblPr>
      <w:tblGrid>
        <w:gridCol w:w="5251"/>
        <w:gridCol w:w="146"/>
        <w:gridCol w:w="226"/>
        <w:gridCol w:w="1141"/>
        <w:gridCol w:w="286"/>
        <w:gridCol w:w="146"/>
        <w:gridCol w:w="226"/>
        <w:gridCol w:w="961"/>
        <w:gridCol w:w="331"/>
      </w:tblGrid>
      <w:tr>
        <w:trPr/>
        <w:tc>
          <w:tcPr>
            <w:tcW w:w="52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1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52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before income taxes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(1,861,412</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(156,703</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 computed at statutory EIT rate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(316,440</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(26,639</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Reconciling items: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Non-taxable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on deferred offering costs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(75,242</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391,848</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26,772</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2023 and December 31, 2022, the significant components of the deferred tax assets are summarized below:</w:t>
      </w:r>
    </w:p>
    <w:tbl>
      <w:tblPr>
        <w:tblW w:w="8800" w:type="dxa"/>
        <w:jc w:val="left"/>
        <w:tblInd w:w="0" w:type="dxa"/>
        <w:tblLayout w:type="fixed"/>
        <w:tblCellMar>
          <w:top w:w="0" w:type="dxa"/>
          <w:left w:w="0" w:type="dxa"/>
          <w:bottom w:w="0" w:type="dxa"/>
          <w:right w:w="0" w:type="dxa"/>
        </w:tblCellMar>
      </w:tblPr>
      <w:tblGrid>
        <w:gridCol w:w="5371"/>
        <w:gridCol w:w="146"/>
        <w:gridCol w:w="241"/>
        <w:gridCol w:w="1081"/>
        <w:gridCol w:w="196"/>
        <w:gridCol w:w="146"/>
        <w:gridCol w:w="252"/>
        <w:gridCol w:w="1131"/>
        <w:gridCol w:w="236"/>
      </w:tblGrid>
      <w:tr>
        <w:trPr/>
        <w:tc>
          <w:tcPr>
            <w:tcW w:w="53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83"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1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 carried forward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562,071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164,313</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261,815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249,558</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173,899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111,191</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gross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997,785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525,062</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(630,695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(238,081</w:t>
            </w:r>
          </w:p>
        </w:tc>
        <w:tc>
          <w:tcPr>
            <w:tcW w:w="2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net of valuation allowance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367,090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1"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(92,998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(22,686</w:t>
            </w:r>
          </w:p>
        </w:tc>
        <w:tc>
          <w:tcPr>
            <w:tcW w:w="2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(261,815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(253,994</w:t>
            </w:r>
          </w:p>
        </w:tc>
        <w:tc>
          <w:tcPr>
            <w:tcW w:w="2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(12,277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(10,301</w:t>
            </w:r>
          </w:p>
        </w:tc>
        <w:tc>
          <w:tcPr>
            <w:tcW w:w="2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(367,090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2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1"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Deferred tax assets (liability)</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and December 31,2022. Thus, management decided to record all of the valuation allowance.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roll forward of valuation allowances of deferred tax assets were as follows:</w:t>
      </w:r>
    </w:p>
    <w:tbl>
      <w:tblPr>
        <w:tblW w:w="7270" w:type="dxa"/>
        <w:jc w:val="left"/>
        <w:tblInd w:w="0" w:type="dxa"/>
        <w:tblLayout w:type="fixed"/>
        <w:tblCellMar>
          <w:top w:w="0" w:type="dxa"/>
          <w:left w:w="0" w:type="dxa"/>
          <w:bottom w:w="0" w:type="dxa"/>
          <w:right w:w="0" w:type="dxa"/>
        </w:tblCellMar>
      </w:tblPr>
      <w:tblGrid>
        <w:gridCol w:w="4126"/>
        <w:gridCol w:w="146"/>
        <w:gridCol w:w="241"/>
        <w:gridCol w:w="991"/>
        <w:gridCol w:w="146"/>
        <w:gridCol w:w="305"/>
        <w:gridCol w:w="1315"/>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9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4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beginning of year</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238,081</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30,974</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 of valuation allowance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391,848</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201,092</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766</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6,015</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end of year</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630,695</w:t>
            </w:r>
          </w:p>
        </w:tc>
        <w:tc>
          <w:tcPr>
            <w:tcW w:w="146" w:type="dxa"/>
            <w:tcBorders/>
            <w:vAlign w:val="bottom"/>
          </w:tcPr>
          <w:p>
            <w:pPr>
              <w:pStyle w:val="TableContents"/>
              <w:bidi w:val="0"/>
              <w:spacing w:before="0" w:after="283"/>
              <w:jc w:val="left"/>
              <w:rPr/>
            </w:pPr>
            <w:r>
              <w:rPr/>
              <w:t> </w:t>
            </w:r>
          </w:p>
        </w:tc>
        <w:tc>
          <w:tcPr>
            <w:tcW w:w="30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238,081</w:t>
            </w:r>
          </w:p>
        </w:tc>
      </w:tr>
    </w:tbl>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Uncertain tax 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June 30, 2023 and December 31, 2022, the Group did not have any significant unrecognized uncertain tax positions. The Group did not incur interest and penalties tax for the six months ended June 30, 2023 and 2022. As of June 30, 2023, the tax years ended December 31, 2018 to 2022 for the Group’s Singapore subsidiaries remain open for statutory examination by any applicable tax authorities.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BORROWINGS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2023 and December 31, 2022, summary of the borrowings is as following:</w:t>
      </w:r>
    </w:p>
    <w:tbl>
      <w:tblPr>
        <w:tblW w:w="10792" w:type="dxa"/>
        <w:jc w:val="left"/>
        <w:tblInd w:w="0" w:type="dxa"/>
        <w:tblLayout w:type="fixed"/>
        <w:tblCellMar>
          <w:top w:w="0" w:type="dxa"/>
          <w:left w:w="0" w:type="dxa"/>
          <w:bottom w:w="0" w:type="dxa"/>
          <w:right w:w="0" w:type="dxa"/>
        </w:tblCellMar>
      </w:tblPr>
      <w:tblGrid>
        <w:gridCol w:w="836"/>
        <w:gridCol w:w="146"/>
        <w:gridCol w:w="533"/>
        <w:gridCol w:w="293"/>
        <w:gridCol w:w="146"/>
        <w:gridCol w:w="1301"/>
        <w:gridCol w:w="146"/>
        <w:gridCol w:w="1301"/>
        <w:gridCol w:w="146"/>
        <w:gridCol w:w="931"/>
        <w:gridCol w:w="146"/>
        <w:gridCol w:w="1066"/>
        <w:gridCol w:w="146"/>
        <w:gridCol w:w="1126"/>
        <w:gridCol w:w="146"/>
        <w:gridCol w:w="1066"/>
        <w:gridCol w:w="146"/>
        <w:gridCol w:w="1171"/>
      </w:tblGrid>
      <w:tr>
        <w:trPr/>
        <w:tc>
          <w:tcPr>
            <w:tcW w:w="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of </w:t>
              <w:br/>
              <w:t xml:space="preserve">June 30, </w:t>
              <w:br/>
              <w:t>2023</w:t>
            </w:r>
          </w:p>
        </w:tc>
        <w:tc>
          <w:tcPr>
            <w:tcW w:w="146" w:type="dxa"/>
            <w:tcBorders/>
            <w:vAlign w:val="bottom"/>
          </w:tcPr>
          <w:p>
            <w:pPr>
              <w:pStyle w:val="TableContents"/>
              <w:bidi w:val="0"/>
              <w:spacing w:before="0" w:after="283"/>
              <w:jc w:val="left"/>
              <w:rPr/>
            </w:pPr>
            <w:r>
              <w:rPr/>
              <w:t> </w:t>
            </w:r>
          </w:p>
        </w:tc>
        <w:tc>
          <w:tcPr>
            <w:tcW w:w="238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of </w:t>
              <w:br/>
              <w:t xml:space="preserve">December 31, </w:t>
              <w:br/>
              <w:t>2022</w:t>
            </w:r>
          </w:p>
        </w:tc>
      </w:tr>
      <w:tr>
        <w:trPr/>
        <w:tc>
          <w:tcPr>
            <w:tcW w:w="8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Bank</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Annual </w:t>
              <w:br/>
              <w:t xml:space="preserve">Interest </w:t>
              <w:br/>
              <w:t>Rate</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Start</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Maturity</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Principal</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Long-term</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Long-</w:t>
            </w:r>
            <w:r>
              <w:rPr>
                <w:rFonts w:ascii="Times New Roman PS Std;serif" w:hAnsi="Times New Roman PS Std;serif"/>
                <w:b/>
                <w:i w:val="false"/>
                <w:caps w:val="false"/>
                <w:smallCaps w:val="false"/>
                <w:sz w:val="18"/>
              </w:rPr>
              <w:t> </w:t>
            </w:r>
            <w:r>
              <w:rPr>
                <w:rFonts w:ascii="Times New Roman PS Std;serif" w:hAnsi="Times New Roman PS Std;serif"/>
                <w:b/>
                <w:i w:val="false"/>
                <w:caps w:val="false"/>
                <w:smallCaps w:val="false"/>
                <w:sz w:val="16"/>
              </w:rPr>
              <w:t xml:space="preserve">term </w:t>
              <w:br/>
              <w:t xml:space="preserve">(current </w:t>
              <w:br/>
              <w:t>portions)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Long-term</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Long-</w:t>
            </w:r>
            <w:r>
              <w:rPr>
                <w:rFonts w:ascii="Times New Roman PS Std;serif" w:hAnsi="Times New Roman PS Std;serif"/>
                <w:b/>
                <w:i w:val="false"/>
                <w:caps w:val="false"/>
                <w:smallCaps w:val="false"/>
                <w:sz w:val="18"/>
              </w:rPr>
              <w:t> </w:t>
            </w:r>
            <w:r>
              <w:rPr>
                <w:rFonts w:ascii="Times New Roman PS Std;serif" w:hAnsi="Times New Roman PS Std;serif"/>
                <w:b/>
                <w:i w:val="false"/>
                <w:caps w:val="false"/>
                <w:smallCaps w:val="false"/>
                <w:sz w:val="16"/>
              </w:rPr>
              <w:t xml:space="preserve">term </w:t>
              <w:br/>
              <w:t xml:space="preserve">(current </w:t>
              <w:br/>
              <w:t>portions)</w:t>
            </w:r>
          </w:p>
        </w:tc>
      </w:tr>
      <w:tr>
        <w:trPr/>
        <w:tc>
          <w:tcPr>
            <w:tcW w:w="8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r>
      <w:tr>
        <w:trPr/>
        <w:tc>
          <w:tcPr>
            <w:tcW w:w="8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OCBC Bank</w:t>
            </w:r>
          </w:p>
        </w:tc>
        <w:tc>
          <w:tcPr>
            <w:tcW w:w="146"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March 2021</w:t>
            </w:r>
          </w:p>
        </w:tc>
        <w:tc>
          <w:tcPr>
            <w:tcW w:w="146"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March 2026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22,189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7,705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4,469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10,043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4,449</w:t>
            </w:r>
          </w:p>
        </w:tc>
      </w:tr>
      <w:tr>
        <w:trPr/>
        <w:tc>
          <w:tcPr>
            <w:tcW w:w="8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OCBC Bank</w:t>
            </w:r>
          </w:p>
        </w:tc>
        <w:tc>
          <w:tcPr>
            <w:tcW w:w="146" w:type="dxa"/>
            <w:tcBorders/>
            <w:vAlign w:val="bottom"/>
          </w:tcPr>
          <w:p>
            <w:pPr>
              <w:pStyle w:val="TableContents"/>
              <w:bidi w:val="0"/>
              <w:spacing w:before="0" w:after="283"/>
              <w:jc w:val="left"/>
              <w:rPr/>
            </w:pPr>
            <w:r>
              <w:rPr/>
              <w:t> </w:t>
            </w:r>
          </w:p>
        </w:tc>
        <w:tc>
          <w:tcPr>
            <w:tcW w:w="53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4.25</w:t>
            </w:r>
          </w:p>
        </w:tc>
        <w:tc>
          <w:tcPr>
            <w:tcW w:w="29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September 2021</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September 2026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25,888</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12,379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5,108</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15,095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5,046</w:t>
            </w:r>
          </w:p>
        </w:tc>
      </w:tr>
      <w:tr>
        <w:trPr/>
        <w:tc>
          <w:tcPr>
            <w:tcW w:w="8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UOB Bank</w:t>
            </w:r>
          </w:p>
        </w:tc>
        <w:tc>
          <w:tcPr>
            <w:tcW w:w="146"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May 2022</w:t>
            </w:r>
          </w:p>
        </w:tc>
        <w:tc>
          <w:tcPr>
            <w:tcW w:w="146"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May 2027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373,023</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218,538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71,413</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256,862</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70,622</w:t>
            </w:r>
          </w:p>
        </w:tc>
      </w:tr>
      <w:tr>
        <w:trPr/>
        <w:tc>
          <w:tcPr>
            <w:tcW w:w="8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Maybank Singapore Limited</w:t>
            </w:r>
          </w:p>
        </w:tc>
        <w:tc>
          <w:tcPr>
            <w:tcW w:w="146" w:type="dxa"/>
            <w:tcBorders/>
            <w:vAlign w:val="bottom"/>
          </w:tcPr>
          <w:p>
            <w:pPr>
              <w:pStyle w:val="TableContents"/>
              <w:bidi w:val="0"/>
              <w:spacing w:before="0" w:after="283"/>
              <w:jc w:val="left"/>
              <w:rPr/>
            </w:pPr>
            <w:r>
              <w:rPr/>
              <w:t> </w:t>
            </w:r>
          </w:p>
        </w:tc>
        <w:tc>
          <w:tcPr>
            <w:tcW w:w="53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w:t>
            </w:r>
          </w:p>
        </w:tc>
        <w:tc>
          <w:tcPr>
            <w:tcW w:w="29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2022</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2027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298,418</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186,246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56,140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216,572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55,243</w:t>
            </w:r>
          </w:p>
        </w:tc>
      </w:tr>
      <w:tr>
        <w:trPr/>
        <w:tc>
          <w:tcPr>
            <w:tcW w:w="8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c>
          <w:tcPr>
            <w:tcW w:w="146"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719,518</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424,868</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137,130</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498,572</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135,360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 were $13,394 and $3,143 for the six months ended June 30, 2023 and 2022,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borrowings above are guaranteed by the Group’s shareholder, Poh Kiong Tan.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BORROWINGS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Debt Maturities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contractual maturities of the Group’s borrowings as of June 30, 2023 were as follows:</w:t>
      </w:r>
    </w:p>
    <w:tbl>
      <w:tblPr>
        <w:tblW w:w="2729" w:type="dxa"/>
        <w:jc w:val="left"/>
        <w:tblInd w:w="0" w:type="dxa"/>
        <w:tblLayout w:type="fixed"/>
        <w:tblCellMar>
          <w:top w:w="0" w:type="dxa"/>
          <w:left w:w="0" w:type="dxa"/>
          <w:bottom w:w="0" w:type="dxa"/>
          <w:right w:w="0" w:type="dxa"/>
        </w:tblCellMar>
      </w:tblPr>
      <w:tblGrid>
        <w:gridCol w:w="1426"/>
        <w:gridCol w:w="146"/>
        <w:gridCol w:w="226"/>
        <w:gridCol w:w="931"/>
      </w:tblGrid>
      <w:tr>
        <w:trPr/>
        <w:tc>
          <w:tcPr>
            <w:tcW w:w="14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137,130</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 2 years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280,653</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 3 years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77,352</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 4 years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66,863</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561,998</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OTHER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consisted of the following:</w:t>
      </w:r>
    </w:p>
    <w:tbl>
      <w:tblPr>
        <w:tblW w:w="5395" w:type="dxa"/>
        <w:jc w:val="left"/>
        <w:tblInd w:w="0" w:type="dxa"/>
        <w:tblLayout w:type="fixed"/>
        <w:tblCellMar>
          <w:top w:w="0" w:type="dxa"/>
          <w:left w:w="0" w:type="dxa"/>
          <w:bottom w:w="0" w:type="dxa"/>
          <w:right w:w="0" w:type="dxa"/>
        </w:tblCellMar>
      </w:tblPr>
      <w:tblGrid>
        <w:gridCol w:w="2416"/>
        <w:gridCol w:w="146"/>
        <w:gridCol w:w="294"/>
        <w:gridCol w:w="998"/>
        <w:gridCol w:w="190"/>
        <w:gridCol w:w="294"/>
        <w:gridCol w:w="1057"/>
      </w:tblGrid>
      <w:tr>
        <w:trPr/>
        <w:tc>
          <w:tcPr>
            <w:tcW w:w="24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2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90" w:type="dxa"/>
            <w:tcBorders/>
            <w:vAlign w:val="bottom"/>
          </w:tcPr>
          <w:p>
            <w:pPr>
              <w:pStyle w:val="TableContents"/>
              <w:bidi w:val="0"/>
              <w:spacing w:before="0" w:after="283"/>
              <w:jc w:val="left"/>
              <w:rPr/>
            </w:pPr>
            <w:r>
              <w:rPr/>
              <w:t> </w:t>
            </w:r>
          </w:p>
        </w:tc>
        <w:tc>
          <w:tcPr>
            <w:tcW w:w="135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24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13,516</w:t>
            </w:r>
          </w:p>
        </w:tc>
        <w:tc>
          <w:tcPr>
            <w:tcW w:w="19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58,598</w:t>
            </w:r>
          </w:p>
        </w:tc>
      </w:tr>
      <w:tr>
        <w:trPr/>
        <w:tc>
          <w:tcPr>
            <w:tcW w:w="24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Referral commission(1)</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4,285</w:t>
            </w:r>
          </w:p>
        </w:tc>
      </w:tr>
      <w:tr>
        <w:trPr/>
        <w:tc>
          <w:tcPr>
            <w:tcW w:w="24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7,642</w:t>
            </w:r>
          </w:p>
        </w:tc>
        <w:tc>
          <w:tcPr>
            <w:tcW w:w="19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8,136</w:t>
            </w:r>
          </w:p>
        </w:tc>
      </w:tr>
      <w:tr>
        <w:trPr/>
        <w:tc>
          <w:tcPr>
            <w:tcW w:w="24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21,158</w:t>
            </w:r>
          </w:p>
        </w:tc>
        <w:tc>
          <w:tcPr>
            <w:tcW w:w="190"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71,019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Group recorded referral fees as other income when other consulting services providers successfully engaged by customer and paid the Group referral fee.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list of related parties which the Group has transactions with:</w:t>
      </w:r>
    </w:p>
    <w:tbl>
      <w:tblPr>
        <w:tblW w:w="8500" w:type="dxa"/>
        <w:jc w:val="left"/>
        <w:tblInd w:w="0" w:type="dxa"/>
        <w:tblLayout w:type="fixed"/>
        <w:tblCellMar>
          <w:top w:w="0" w:type="dxa"/>
          <w:left w:w="0" w:type="dxa"/>
          <w:bottom w:w="0" w:type="dxa"/>
          <w:right w:w="0" w:type="dxa"/>
        </w:tblCellMar>
      </w:tblPr>
      <w:tblGrid>
        <w:gridCol w:w="526"/>
        <w:gridCol w:w="146"/>
        <w:gridCol w:w="2911"/>
        <w:gridCol w:w="146"/>
        <w:gridCol w:w="4771"/>
      </w:tblGrid>
      <w:tr>
        <w:trPr/>
        <w:tc>
          <w:tcPr>
            <w:tcW w:w="5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Parties</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with the Group</w:t>
            </w:r>
          </w:p>
        </w:tc>
      </w:tr>
      <w:tr>
        <w:trPr/>
        <w:tc>
          <w:tcPr>
            <w:tcW w:w="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Chairman, Chief Executive Officer</w:t>
            </w:r>
          </w:p>
        </w:tc>
      </w:tr>
      <w:tr>
        <w:trPr/>
        <w:tc>
          <w:tcPr>
            <w:tcW w:w="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equity interests owned by Soon Huat Lim</w:t>
            </w:r>
          </w:p>
        </w:tc>
      </w:tr>
      <w:tr>
        <w:trPr/>
        <w:tc>
          <w:tcPr>
            <w:tcW w:w="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Foodtech Pte. Ltd.</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equity interests owned by Soon Huat Lim</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from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 consisted of the following for the periods indicated:</w:t>
      </w:r>
    </w:p>
    <w:tbl>
      <w:tblPr>
        <w:tblW w:w="4960" w:type="dxa"/>
        <w:jc w:val="left"/>
        <w:tblInd w:w="0" w:type="dxa"/>
        <w:tblLayout w:type="fixed"/>
        <w:tblCellMar>
          <w:top w:w="0" w:type="dxa"/>
          <w:left w:w="0" w:type="dxa"/>
          <w:bottom w:w="0" w:type="dxa"/>
          <w:right w:w="0" w:type="dxa"/>
        </w:tblCellMar>
      </w:tblPr>
      <w:tblGrid>
        <w:gridCol w:w="1816"/>
        <w:gridCol w:w="146"/>
        <w:gridCol w:w="241"/>
        <w:gridCol w:w="991"/>
        <w:gridCol w:w="146"/>
        <w:gridCol w:w="617"/>
        <w:gridCol w:w="1003"/>
      </w:tblGrid>
      <w:tr>
        <w:trPr/>
        <w:tc>
          <w:tcPr>
            <w:tcW w:w="18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9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995,563</w:t>
            </w:r>
          </w:p>
        </w:tc>
        <w:tc>
          <w:tcPr>
            <w:tcW w:w="14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995,563</w:t>
            </w:r>
          </w:p>
        </w:tc>
        <w:tc>
          <w:tcPr>
            <w:tcW w:w="146" w:type="dxa"/>
            <w:tcBorders/>
            <w:vAlign w:val="bottom"/>
          </w:tcPr>
          <w:p>
            <w:pPr>
              <w:pStyle w:val="TableContents"/>
              <w:bidi w:val="0"/>
              <w:spacing w:before="0" w:after="283"/>
              <w:jc w:val="left"/>
              <w:rPr/>
            </w:pPr>
            <w:r>
              <w:rPr/>
              <w:t> </w:t>
            </w:r>
          </w:p>
        </w:tc>
        <w:tc>
          <w:tcPr>
            <w:tcW w:w="61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0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represented loan to this related party with no fixed term of repayment and interest. The Group has received the $995,563 in September      ,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to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 consisted of the following for the periods indicated:</w:t>
      </w:r>
    </w:p>
    <w:tbl>
      <w:tblPr>
        <w:tblW w:w="6205" w:type="dxa"/>
        <w:jc w:val="left"/>
        <w:tblInd w:w="0" w:type="dxa"/>
        <w:tblLayout w:type="fixed"/>
        <w:tblCellMar>
          <w:top w:w="0" w:type="dxa"/>
          <w:left w:w="0" w:type="dxa"/>
          <w:bottom w:w="0" w:type="dxa"/>
          <w:right w:w="0" w:type="dxa"/>
        </w:tblCellMar>
      </w:tblPr>
      <w:tblGrid>
        <w:gridCol w:w="3196"/>
        <w:gridCol w:w="146"/>
        <w:gridCol w:w="241"/>
        <w:gridCol w:w="856"/>
        <w:gridCol w:w="146"/>
        <w:gridCol w:w="305"/>
        <w:gridCol w:w="1315"/>
      </w:tblGrid>
      <w:tr>
        <w:trPr/>
        <w:tc>
          <w:tcPr>
            <w:tcW w:w="31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6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3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40,197</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11,491</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513,280</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5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40,197</w:t>
            </w:r>
          </w:p>
        </w:tc>
        <w:tc>
          <w:tcPr>
            <w:tcW w:w="146" w:type="dxa"/>
            <w:tcBorders/>
            <w:vAlign w:val="bottom"/>
          </w:tcPr>
          <w:p>
            <w:pPr>
              <w:pStyle w:val="TableContents"/>
              <w:bidi w:val="0"/>
              <w:spacing w:before="0" w:after="283"/>
              <w:jc w:val="left"/>
              <w:rPr/>
            </w:pPr>
            <w:r>
              <w:rPr/>
              <w:t> </w:t>
            </w:r>
          </w:p>
        </w:tc>
        <w:tc>
          <w:tcPr>
            <w:tcW w:w="30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526,263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represented loan from this related party for the Group’s daily operation with no fixed term of repayment and interest, and expense paid on behalf of the Group.</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 represented loan from this related party.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balance represented interest-free loan from this related party for the Group’s daily operation at maturity within three months, offset by loan to this related party.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transactions</w:t>
      </w:r>
    </w:p>
    <w:tbl>
      <w:tblPr>
        <w:tblW w:w="7390" w:type="dxa"/>
        <w:jc w:val="left"/>
        <w:tblInd w:w="0" w:type="dxa"/>
        <w:tblLayout w:type="fixed"/>
        <w:tblCellMar>
          <w:top w:w="0" w:type="dxa"/>
          <w:left w:w="0" w:type="dxa"/>
          <w:bottom w:w="0" w:type="dxa"/>
          <w:right w:w="0" w:type="dxa"/>
        </w:tblCellMar>
      </w:tblPr>
      <w:tblGrid>
        <w:gridCol w:w="4411"/>
        <w:gridCol w:w="146"/>
        <w:gridCol w:w="246"/>
        <w:gridCol w:w="1165"/>
        <w:gridCol w:w="159"/>
        <w:gridCol w:w="246"/>
        <w:gridCol w:w="1017"/>
      </w:tblGrid>
      <w:tr>
        <w:trPr/>
        <w:tc>
          <w:tcPr>
            <w:tcW w:w="44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Nature</w:t>
            </w:r>
          </w:p>
        </w:tc>
        <w:tc>
          <w:tcPr>
            <w:tcW w:w="146" w:type="dxa"/>
            <w:tcBorders/>
            <w:vAlign w:val="bottom"/>
          </w:tcPr>
          <w:p>
            <w:pPr>
              <w:pStyle w:val="TableContents"/>
              <w:bidi w:val="0"/>
              <w:spacing w:before="0" w:after="283"/>
              <w:jc w:val="left"/>
              <w:rPr/>
            </w:pPr>
            <w:r>
              <w:rPr/>
              <w:t> </w:t>
            </w:r>
          </w:p>
        </w:tc>
        <w:tc>
          <w:tcPr>
            <w:tcW w:w="141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59" w:type="dxa"/>
            <w:tcBorders/>
            <w:vAlign w:val="bottom"/>
          </w:tcPr>
          <w:p>
            <w:pPr>
              <w:pStyle w:val="TableContents"/>
              <w:bidi w:val="0"/>
              <w:spacing w:before="0" w:after="283"/>
              <w:jc w:val="left"/>
              <w:rPr/>
            </w:pPr>
            <w:r>
              <w:rPr/>
              <w:t> </w:t>
            </w:r>
          </w:p>
        </w:tc>
        <w:tc>
          <w:tcPr>
            <w:tcW w:w="126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6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56,337</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20,411</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paid on behalf of the Group</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1,464</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21,756</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shareholder(1)</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Soon Huat Lim</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6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7" w:type="dxa"/>
            <w:tcBorders/>
            <w:vAlign w:val="bottom"/>
          </w:tcPr>
          <w:p>
            <w:pPr>
              <w:pStyle w:val="TableContents"/>
              <w:bidi w:val="0"/>
              <w:spacing w:before="0" w:after="283"/>
              <w:jc w:val="left"/>
              <w:rPr/>
            </w:pPr>
            <w:r>
              <w:rPr/>
              <w:t> </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parties</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1,497</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to related party</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1,007,634</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Deemed dividend</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74,845</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Trident Consultancy Pte. Ltd.</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6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823,292</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299,379</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from loan to a related party</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15,717</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Trident Foodtech Pte. Ltd.</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6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expense to related party</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4,491</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six months ended June 30, 2022, QZT received contribution from Poh Kiong Tan. The contribution was implemented to reduce the outstanding balance due to Poh Kiong Tan by $36,266.</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CONCENTRATION OF CREDIT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CONCENTRATION OF CREDIT RISK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revenue.</w:t>
      </w:r>
    </w:p>
    <w:tbl>
      <w:tblPr>
        <w:tblW w:w="7001" w:type="dxa"/>
        <w:jc w:val="left"/>
        <w:tblInd w:w="0" w:type="dxa"/>
        <w:tblLayout w:type="fixed"/>
        <w:tblCellMar>
          <w:top w:w="0" w:type="dxa"/>
          <w:left w:w="0" w:type="dxa"/>
          <w:bottom w:w="0" w:type="dxa"/>
          <w:right w:w="0" w:type="dxa"/>
        </w:tblCellMar>
      </w:tblPr>
      <w:tblGrid>
        <w:gridCol w:w="4021"/>
        <w:gridCol w:w="146"/>
        <w:gridCol w:w="673"/>
        <w:gridCol w:w="556"/>
        <w:gridCol w:w="283"/>
        <w:gridCol w:w="673"/>
        <w:gridCol w:w="649"/>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4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2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283" w:type="dxa"/>
            <w:tcBorders/>
            <w:vAlign w:val="bottom"/>
          </w:tcPr>
          <w:p>
            <w:pPr>
              <w:pStyle w:val="TableContents"/>
              <w:bidi w:val="0"/>
              <w:spacing w:before="0" w:after="283"/>
              <w:jc w:val="left"/>
              <w:rPr/>
            </w:pPr>
            <w:r>
              <w:rPr/>
              <w:t> </w:t>
            </w:r>
          </w:p>
        </w:tc>
        <w:tc>
          <w:tcPr>
            <w:tcW w:w="132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total revenue</w:t>
            </w:r>
          </w:p>
        </w:tc>
        <w:tc>
          <w:tcPr>
            <w:tcW w:w="14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83"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vAlign w:val="bottom"/>
          </w:tcPr>
          <w:p>
            <w:pPr>
              <w:pStyle w:val="TableContents"/>
              <w:bidi w:val="0"/>
              <w:spacing w:before="0" w:after="283"/>
              <w:jc w:val="left"/>
              <w:rPr/>
            </w:pPr>
            <w:r>
              <w:rPr/>
              <w:t> </w:t>
            </w:r>
          </w:p>
        </w:tc>
        <w:tc>
          <w:tcPr>
            <w:tcW w:w="6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55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3" w:type="dxa"/>
            <w:tcBorders/>
            <w:vAlign w:val="bottom"/>
          </w:tcPr>
          <w:p>
            <w:pPr>
              <w:pStyle w:val="TableContents"/>
              <w:bidi w:val="0"/>
              <w:spacing w:before="0" w:after="283"/>
              <w:jc w:val="left"/>
              <w:rPr/>
            </w:pPr>
            <w:r>
              <w:rPr/>
              <w:t> </w:t>
            </w:r>
          </w:p>
        </w:tc>
        <w:tc>
          <w:tcPr>
            <w:tcW w:w="6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6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5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3"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6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w:t>
            </w:r>
          </w:p>
        </w:tc>
        <w:tc>
          <w:tcPr>
            <w:tcW w:w="146" w:type="dxa"/>
            <w:tcBorders/>
            <w:vAlign w:val="bottom"/>
          </w:tcPr>
          <w:p>
            <w:pPr>
              <w:pStyle w:val="TableContents"/>
              <w:bidi w:val="0"/>
              <w:spacing w:before="0" w:after="283"/>
              <w:jc w:val="left"/>
              <w:rPr/>
            </w:pPr>
            <w:r>
              <w:rPr/>
              <w:t> </w:t>
            </w:r>
          </w:p>
        </w:tc>
        <w:tc>
          <w:tcPr>
            <w:tcW w:w="6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83" w:type="dxa"/>
            <w:tcBorders/>
            <w:vAlign w:val="bottom"/>
          </w:tcPr>
          <w:p>
            <w:pPr>
              <w:pStyle w:val="TableContents"/>
              <w:bidi w:val="0"/>
              <w:spacing w:before="0" w:after="283"/>
              <w:jc w:val="left"/>
              <w:rPr/>
            </w:pPr>
            <w:r>
              <w:rPr/>
              <w:t> </w:t>
            </w:r>
          </w:p>
        </w:tc>
        <w:tc>
          <w:tcPr>
            <w:tcW w:w="6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6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w:t>
            </w:r>
          </w:p>
        </w:tc>
        <w:tc>
          <w:tcPr>
            <w:tcW w:w="14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83"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6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67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55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3" w:type="dxa"/>
            <w:tcBorders/>
            <w:vAlign w:val="bottom"/>
          </w:tcPr>
          <w:p>
            <w:pPr>
              <w:pStyle w:val="TableContents"/>
              <w:bidi w:val="0"/>
              <w:spacing w:before="0" w:after="283"/>
              <w:jc w:val="left"/>
              <w:rPr/>
            </w:pPr>
            <w:r>
              <w:rPr/>
              <w:t> </w:t>
            </w:r>
          </w:p>
        </w:tc>
        <w:tc>
          <w:tcPr>
            <w:tcW w:w="67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6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accounts receivable:</w:t>
      </w:r>
    </w:p>
    <w:tbl>
      <w:tblPr>
        <w:tblW w:w="7568" w:type="dxa"/>
        <w:jc w:val="left"/>
        <w:tblInd w:w="0" w:type="dxa"/>
        <w:tblLayout w:type="fixed"/>
        <w:tblCellMar>
          <w:top w:w="0" w:type="dxa"/>
          <w:left w:w="0" w:type="dxa"/>
          <w:bottom w:w="0" w:type="dxa"/>
          <w:right w:w="0" w:type="dxa"/>
        </w:tblCellMar>
      </w:tblPr>
      <w:tblGrid>
        <w:gridCol w:w="4666"/>
        <w:gridCol w:w="146"/>
        <w:gridCol w:w="541"/>
        <w:gridCol w:w="449"/>
        <w:gridCol w:w="146"/>
        <w:gridCol w:w="827"/>
        <w:gridCol w:w="793"/>
      </w:tblGrid>
      <w:tr>
        <w:trPr/>
        <w:tc>
          <w:tcPr>
            <w:tcW w:w="46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56"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46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accounts receivable</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E</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7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F</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7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G</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79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5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4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7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COMMITMENTS AND CONTINGENCIES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SUBSEQUENT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evaluated subsequent events through the date of issuance of the consolidated financial statements and did not identify any subsequent events with material financial impact on the Group’s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PROSPECTUS</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6. INDEMNIFICATION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form of indemnification agreements filed as Exhibit 10.2 to this registration statement, we will agree to indemnify our directors and executive officers against certain liabilities and expenses incurred by such persons in connection with claims made by reason of their being such a director or executive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form of underwriting agreement to be filed as Exhibit 1.1 to this registration statement will also provide indemnification for us and our officers and directors for certain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7. RECENT SALES OF UNREGISTERED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tbl>
      <w:tblPr>
        <w:tblW w:w="10205" w:type="dxa"/>
        <w:jc w:val="left"/>
        <w:tblInd w:w="0" w:type="dxa"/>
        <w:tblLayout w:type="fixed"/>
        <w:tblCellMar>
          <w:top w:w="0" w:type="dxa"/>
          <w:left w:w="0" w:type="dxa"/>
          <w:bottom w:w="0" w:type="dxa"/>
          <w:right w:w="0" w:type="dxa"/>
        </w:tblCellMar>
      </w:tblPr>
      <w:tblGrid>
        <w:gridCol w:w="4489"/>
        <w:gridCol w:w="146"/>
        <w:gridCol w:w="1525"/>
        <w:gridCol w:w="146"/>
        <w:gridCol w:w="2082"/>
        <w:gridCol w:w="146"/>
        <w:gridCol w:w="1671"/>
      </w:tblGrid>
      <w:tr>
        <w:trPr/>
        <w:tc>
          <w:tcPr>
            <w:tcW w:w="44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Securities/Purchaser</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Issuance</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Securities</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Consideration</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Ordinary Shares</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left"/>
              <w:rPr/>
            </w:pPr>
            <w:r>
              <w:rPr/>
              <w:t> </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Sertus Nominees (Cayman) Limited</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0.00001</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Ltd</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49,999,999</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US$ 499.99999</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B Ordinary Shares</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bidi w:val="0"/>
              <w:spacing w:before="0" w:after="283"/>
              <w:jc w:val="left"/>
              <w:rPr/>
            </w:pPr>
            <w:r>
              <w:rPr/>
              <w:t> </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Group Holdings Ltd</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150,000,000</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1,500</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 Wealth Ltd</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125,705,000</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1,257.05</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Tai Lee</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75,000,000</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3,000,000</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Yat Hong Lo</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25,000,000</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4,000,000</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Stone Wealth Compound Fund SPC</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24,795,000</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499,990</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Alpha Plus Investment Consulting Company Pte. Ltd.</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24,500,000</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245</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100</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Shisong Mai</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100</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Verse Ltd</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5,000,000</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50</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Choon How Liew</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446,429</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250,000 </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Vijai Dharamdas Parwani</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357,143</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200,000 </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Low Yeun Ching@Kelly Tan</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267,857</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150,000 </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 Fund Management Limited</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892,857</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500,000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8. EXHIBITS AND FINANCIAL STATEMENT SCHEDULES.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Exhibits: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Exhibit Index beginning on page II-4 of this registration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Financial Statement Schedules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Schedules have been omitted because the information required to be set forth therein is not applicable or is shown in the consolidated financial statements and the related notes thereto.</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9. UNDERTAKINGS.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 to file a post-effective amendment to the registration statement to include any financial statements required by Item 8.A of Form 20-F at the start of any delayed offering or throughout a continuous offering.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other communication that is an offer in the offering made by the undersigned registrant to the purchaser.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404"/>
        <w:gridCol w:w="146"/>
        <w:gridCol w:w="8655"/>
      </w:tblGrid>
      <w:tr>
        <w:trPr/>
        <w:tc>
          <w:tcPr>
            <w:tcW w:w="14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Number</w:t>
            </w:r>
          </w:p>
        </w:tc>
        <w:tc>
          <w:tcPr>
            <w:tcW w:w="146" w:type="dxa"/>
            <w:tcBorders/>
            <w:vAlign w:val="bottom"/>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 of Documents</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w:anchor="ff12024a3ex1-1_trident.htm">
              <w:r>
                <w:rPr>
                  <w:rStyle w:val="InternetLink"/>
                  <w:rFonts w:ascii="Times New Roman PS Std;serif" w:hAnsi="Times New Roman PS Std;serif"/>
                  <w:b w:val="false"/>
                  <w:i w:val="false"/>
                  <w:caps w:val="false"/>
                  <w:smallCaps w:val="false"/>
                  <w:sz w:val="20"/>
                </w:rPr>
                <w:t>Form of Underwriting Agreement</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12">
              <w:r>
                <w:rPr>
                  <w:rStyle w:val="InternetLink"/>
                  <w:rFonts w:ascii="Times New Roman PS Std;serif" w:hAnsi="Times New Roman PS Std;serif"/>
                  <w:b w:val="false"/>
                  <w:i w:val="false"/>
                  <w:caps w:val="false"/>
                  <w:smallCaps w:val="false"/>
                  <w:sz w:val="20"/>
                </w:rPr>
                <w:t>Memorandum and Articles of Association of the Registrant, as currently in effect</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13">
              <w:r>
                <w:rPr>
                  <w:rStyle w:val="InternetLink"/>
                  <w:rFonts w:ascii="Times New Roman PS Std;serif" w:hAnsi="Times New Roman PS Std;serif"/>
                  <w:b w:val="false"/>
                  <w:i w:val="false"/>
                  <w:caps w:val="false"/>
                  <w:smallCaps w:val="false"/>
                  <w:sz w:val="20"/>
                </w:rPr>
                <w:t>Form of Amended and Restated Memorandum and Articles of Association of the Registrant, as effective immediately prior to the completion of this offering</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14">
              <w:r>
                <w:rPr>
                  <w:rStyle w:val="InternetLink"/>
                  <w:rFonts w:ascii="Times New Roman PS Std;serif" w:hAnsi="Times New Roman PS Std;serif"/>
                  <w:b w:val="false"/>
                  <w:i w:val="false"/>
                  <w:caps w:val="false"/>
                  <w:smallCaps w:val="false"/>
                  <w:sz w:val="20"/>
                </w:rPr>
                <w:t>Form of Registrant’s Specimen American Depositary Receipt (included in Exhibit 4.3)</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15">
              <w:r>
                <w:rPr>
                  <w:rStyle w:val="InternetLink"/>
                  <w:rFonts w:ascii="Times New Roman PS Std;serif" w:hAnsi="Times New Roman PS Std;serif"/>
                  <w:b w:val="false"/>
                  <w:i w:val="false"/>
                  <w:caps w:val="false"/>
                  <w:smallCaps w:val="false"/>
                  <w:sz w:val="20"/>
                </w:rPr>
                <w:t>Registrant’s Specimen Certificate for Class B ordinary shares</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16">
              <w:r>
                <w:rPr>
                  <w:rStyle w:val="InternetLink"/>
                  <w:rFonts w:ascii="Times New Roman PS Std;serif" w:hAnsi="Times New Roman PS Std;serif"/>
                  <w:b w:val="false"/>
                  <w:i w:val="false"/>
                  <w:caps w:val="false"/>
                  <w:smallCaps w:val="false"/>
                  <w:sz w:val="20"/>
                </w:rPr>
                <w:t>Form of Deposit Agreement between the Registrant, the depositary and holders of the American Depositary Receipts</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17">
              <w:r>
                <w:rPr>
                  <w:rStyle w:val="InternetLink"/>
                  <w:rFonts w:ascii="Times New Roman PS Std;serif" w:hAnsi="Times New Roman PS Std;serif"/>
                  <w:b w:val="false"/>
                  <w:i w:val="false"/>
                  <w:caps w:val="false"/>
                  <w:smallCaps w:val="false"/>
                  <w:sz w:val="20"/>
                </w:rPr>
                <w:t>Opinion of Maples and Calder (Hong Kong) LLP regarding the validity of the Class B ordinary shares being registered</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18">
              <w:r>
                <w:rPr>
                  <w:rStyle w:val="InternetLink"/>
                  <w:rFonts w:ascii="Times New Roman PS Std;serif" w:hAnsi="Times New Roman PS Std;serif"/>
                  <w:b w:val="false"/>
                  <w:i w:val="false"/>
                  <w:caps w:val="false"/>
                  <w:smallCaps w:val="false"/>
                  <w:sz w:val="20"/>
                </w:rPr>
                <w:t>Opinion of Maples and Calder (Hong Kong) LLP regarding certain Cayman Island tax matters (included in Exhibit 5.1)</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19">
              <w:r>
                <w:rPr>
                  <w:rStyle w:val="InternetLink"/>
                  <w:rFonts w:ascii="Times New Roman PS Std;serif" w:hAnsi="Times New Roman PS Std;serif"/>
                  <w:b w:val="false"/>
                  <w:i w:val="false"/>
                  <w:caps w:val="false"/>
                  <w:smallCaps w:val="false"/>
                  <w:sz w:val="20"/>
                </w:rPr>
                <w:t>Opinion of Resource Law LLC (in alliance with Reed Smith) regarding certain Singapore tax matters (included in Exhibit 99.2)</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20">
              <w:r>
                <w:rPr>
                  <w:rStyle w:val="InternetLink"/>
                  <w:rFonts w:ascii="Times New Roman PS Std;serif" w:hAnsi="Times New Roman PS Std;serif"/>
                  <w:b w:val="false"/>
                  <w:i w:val="false"/>
                  <w:caps w:val="false"/>
                  <w:smallCaps w:val="false"/>
                  <w:sz w:val="20"/>
                </w:rPr>
                <w:t>Form of Indemnification Agreement between the Registrant and its directors and executive officers</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21">
              <w:r>
                <w:rPr>
                  <w:rStyle w:val="InternetLink"/>
                  <w:rFonts w:ascii="Times New Roman PS Std;serif" w:hAnsi="Times New Roman PS Std;serif"/>
                  <w:b w:val="false"/>
                  <w:i w:val="false"/>
                  <w:caps w:val="false"/>
                  <w:smallCaps w:val="false"/>
                  <w:sz w:val="20"/>
                </w:rPr>
                <w:t>Form of Employment Agreement, between the Registrant and its executive officers</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22">
              <w:r>
                <w:rPr>
                  <w:rStyle w:val="InternetLink"/>
                  <w:rFonts w:ascii="Times New Roman PS Std;serif" w:hAnsi="Times New Roman PS Std;serif"/>
                  <w:b w:val="false"/>
                  <w:i w:val="false"/>
                  <w:caps w:val="false"/>
                  <w:smallCaps w:val="false"/>
                  <w:sz w:val="20"/>
                </w:rPr>
                <w:t>2023 Equity Incentive Plan</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23">
              <w:r>
                <w:rPr>
                  <w:rStyle w:val="InternetLink"/>
                  <w:rFonts w:ascii="Times New Roman PS Std;serif" w:hAnsi="Times New Roman PS Std;serif"/>
                  <w:b w:val="false"/>
                  <w:i w:val="false"/>
                  <w:caps w:val="false"/>
                  <w:smallCaps w:val="false"/>
                  <w:sz w:val="20"/>
                </w:rPr>
                <w:t>Principal Subsidiaries of the Registrant</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w:anchor="ff12024a3ex23-1_trident.htm">
              <w:r>
                <w:rPr>
                  <w:rStyle w:val="InternetLink"/>
                  <w:rFonts w:ascii="Times New Roman PS Std;serif" w:hAnsi="Times New Roman PS Std;serif"/>
                  <w:b w:val="false"/>
                  <w:i w:val="false"/>
                  <w:caps w:val="false"/>
                  <w:smallCaps w:val="false"/>
                  <w:sz w:val="20"/>
                </w:rPr>
                <w:t>Consent of Marcum Asia CPAs LLP, Independent Registered Public Accounting Firm</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24">
              <w:r>
                <w:rPr>
                  <w:rStyle w:val="InternetLink"/>
                  <w:rFonts w:ascii="Times New Roman PS Std;serif" w:hAnsi="Times New Roman PS Std;serif"/>
                  <w:b w:val="false"/>
                  <w:i w:val="false"/>
                  <w:caps w:val="false"/>
                  <w:smallCaps w:val="false"/>
                  <w:sz w:val="20"/>
                </w:rPr>
                <w:t>Consent of Maples and Calder (Hong Kong) LLP (included in Exhibit 5.1)</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25">
              <w:r>
                <w:rPr>
                  <w:rStyle w:val="InternetLink"/>
                  <w:rFonts w:ascii="Times New Roman PS Std;serif" w:hAnsi="Times New Roman PS Std;serif"/>
                  <w:b w:val="false"/>
                  <w:i w:val="false"/>
                  <w:caps w:val="false"/>
                  <w:smallCaps w:val="false"/>
                  <w:sz w:val="20"/>
                </w:rPr>
                <w:t>Consent of Resource Law LLC (in alliance with Reed Smith)(included in Exhibit 99.2)</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"http://www.sec.gov/Archives/edgar/data/1983550/000101376223001433/ff12023_trident.htm" \l "T7788"</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Powers of Attorney (included on signature page)</w:t>
            </w:r>
            <w:r>
              <w:rPr>
                <w:rStyle w:val="InternetLink"/>
                <w:smallCaps w:val="false"/>
                <w:caps w:val="false"/>
                <w:sz w:val="20"/>
                <w:i w:val="false"/>
                <w:b w:val="false"/>
                <w:rFonts w:ascii="Times New Roman PS Std;serif" w:hAnsi="Times New Roman PS Std;serif"/>
              </w:rPr>
              <w:fldChar w:fldCharType="end"/>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26">
              <w:r>
                <w:rPr>
                  <w:rStyle w:val="InternetLink"/>
                  <w:rFonts w:ascii="Times New Roman PS Std;serif" w:hAnsi="Times New Roman PS Std;serif"/>
                  <w:b w:val="false"/>
                  <w:i w:val="false"/>
                  <w:caps w:val="false"/>
                  <w:smallCaps w:val="false"/>
                  <w:sz w:val="20"/>
                </w:rPr>
                <w:t xml:space="preserve">Code of Business Conduct and Ethics of the Registrant </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27">
              <w:r>
                <w:rPr>
                  <w:rStyle w:val="InternetLink"/>
                  <w:rFonts w:ascii="Times New Roman PS Std;serif" w:hAnsi="Times New Roman PS Std;serif"/>
                  <w:b w:val="false"/>
                  <w:i w:val="false"/>
                  <w:caps w:val="false"/>
                  <w:smallCaps w:val="false"/>
                  <w:sz w:val="20"/>
                </w:rPr>
                <w:t>Opinion of Resource Law LLC (in alliance with Reed Smith) regarding certain Singapore law matters</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28">
              <w:r>
                <w:rPr>
                  <w:rStyle w:val="InternetLink"/>
                  <w:rFonts w:ascii="Times New Roman PS Std;serif" w:hAnsi="Times New Roman PS Std;serif"/>
                  <w:b w:val="false"/>
                  <w:i w:val="false"/>
                  <w:caps w:val="false"/>
                  <w:smallCaps w:val="false"/>
                  <w:sz w:val="20"/>
                </w:rPr>
                <w:t>Consent of Frost &amp; Sullivan</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29">
              <w:r>
                <w:rPr>
                  <w:rStyle w:val="InternetLink"/>
                  <w:rFonts w:ascii="Times New Roman PS Std;serif" w:hAnsi="Times New Roman PS Std;serif"/>
                  <w:b w:val="false"/>
                  <w:i w:val="false"/>
                  <w:caps w:val="false"/>
                  <w:smallCaps w:val="false"/>
                  <w:sz w:val="20"/>
                </w:rPr>
                <w:t xml:space="preserve">Consent of Poh Kiong Tan </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30">
              <w:r>
                <w:rPr>
                  <w:rStyle w:val="InternetLink"/>
                  <w:rFonts w:ascii="Times New Roman PS Std;serif" w:hAnsi="Times New Roman PS Std;serif"/>
                  <w:b w:val="false"/>
                  <w:i w:val="false"/>
                  <w:caps w:val="false"/>
                  <w:smallCaps w:val="false"/>
                  <w:sz w:val="20"/>
                </w:rPr>
                <w:t>Consent of How Teck Lim</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31">
              <w:r>
                <w:rPr>
                  <w:rStyle w:val="InternetLink"/>
                  <w:rFonts w:ascii="Times New Roman PS Std;serif" w:hAnsi="Times New Roman PS Std;serif"/>
                  <w:b w:val="false"/>
                  <w:i w:val="false"/>
                  <w:caps w:val="false"/>
                  <w:smallCaps w:val="false"/>
                  <w:sz w:val="20"/>
                </w:rPr>
                <w:t>Consent of Noi Keng Koh</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32">
              <w:r>
                <w:rPr>
                  <w:rStyle w:val="InternetLink"/>
                  <w:rFonts w:ascii="Times New Roman PS Std;serif" w:hAnsi="Times New Roman PS Std;serif"/>
                  <w:b w:val="false"/>
                  <w:i w:val="false"/>
                  <w:caps w:val="false"/>
                  <w:smallCaps w:val="false"/>
                  <w:sz w:val="20"/>
                </w:rPr>
                <w:t>Consent of Chwee Koh Chua</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w:anchor="ff12024a3ex99-8_trident.htm">
              <w:r>
                <w:rPr>
                  <w:rStyle w:val="InternetLink"/>
                  <w:rFonts w:ascii="Times New Roman PS Std;serif" w:hAnsi="Times New Roman PS Std;serif"/>
                  <w:b w:val="false"/>
                  <w:i w:val="false"/>
                  <w:caps w:val="false"/>
                  <w:smallCaps w:val="false"/>
                  <w:sz w:val="20"/>
                </w:rPr>
                <w:t>Representation Under Item 8.A.4 of Form 20-F</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33">
              <w:r>
                <w:rPr>
                  <w:rStyle w:val="InternetLink"/>
                  <w:rFonts w:ascii="Times New Roman PS Std;serif" w:hAnsi="Times New Roman PS Std;serif"/>
                  <w:b w:val="false"/>
                  <w:i w:val="false"/>
                  <w:caps w:val="false"/>
                  <w:smallCaps w:val="false"/>
                  <w:sz w:val="20"/>
                </w:rPr>
                <w:t>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Previously filed.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January 19, 2024.</w:t>
      </w:r>
    </w:p>
    <w:tbl>
      <w:tblPr>
        <w:tblW w:w="5240" w:type="dxa"/>
        <w:jc w:val="left"/>
        <w:tblInd w:w="0" w:type="dxa"/>
        <w:tblLayout w:type="fixed"/>
        <w:tblCellMar>
          <w:top w:w="0" w:type="dxa"/>
          <w:left w:w="0" w:type="dxa"/>
          <w:bottom w:w="0" w:type="dxa"/>
          <w:right w:w="0" w:type="dxa"/>
        </w:tblCellMar>
      </w:tblPr>
      <w:tblGrid>
        <w:gridCol w:w="161"/>
        <w:gridCol w:w="146"/>
        <w:gridCol w:w="421"/>
        <w:gridCol w:w="146"/>
        <w:gridCol w:w="436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933" w:type="dxa"/>
            <w:gridSpan w:val="3"/>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436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Soon Huat Lim</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Soon Huat Lim</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Chairman and Chief Executive Officer</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this Registration Statement has been signed by the following persons in the capacities and on the dates indicated.</w:t>
      </w:r>
    </w:p>
    <w:tbl>
      <w:tblPr>
        <w:tblW w:w="8095" w:type="dxa"/>
        <w:jc w:val="left"/>
        <w:tblInd w:w="0" w:type="dxa"/>
        <w:tblLayout w:type="fixed"/>
        <w:tblCellMar>
          <w:top w:w="0" w:type="dxa"/>
          <w:left w:w="0" w:type="dxa"/>
          <w:bottom w:w="0" w:type="dxa"/>
          <w:right w:w="0" w:type="dxa"/>
        </w:tblCellMar>
      </w:tblPr>
      <w:tblGrid>
        <w:gridCol w:w="2251"/>
        <w:gridCol w:w="146"/>
        <w:gridCol w:w="3766"/>
        <w:gridCol w:w="146"/>
        <w:gridCol w:w="1786"/>
      </w:tblGrid>
      <w:tr>
        <w:trPr/>
        <w:tc>
          <w:tcPr>
            <w:tcW w:w="22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37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2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Soon Huat Lim</w:t>
            </w:r>
          </w:p>
        </w:tc>
        <w:tc>
          <w:tcPr>
            <w:tcW w:w="146" w:type="dxa"/>
            <w:tcBorders/>
          </w:tcPr>
          <w:p>
            <w:pPr>
              <w:pStyle w:val="TableContents"/>
              <w:bidi w:val="0"/>
              <w:spacing w:before="0" w:after="283"/>
              <w:jc w:val="left"/>
              <w:rPr/>
            </w:pPr>
            <w:r>
              <w:rPr/>
              <w:t> </w:t>
            </w:r>
          </w:p>
        </w:tc>
        <w:tc>
          <w:tcPr>
            <w:tcW w:w="376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and Chief Executive Officer</w:t>
            </w:r>
          </w:p>
        </w:tc>
        <w:tc>
          <w:tcPr>
            <w:tcW w:w="146" w:type="dxa"/>
            <w:tcBorders/>
          </w:tcPr>
          <w:p>
            <w:pPr>
              <w:pStyle w:val="TableContents"/>
              <w:bidi w:val="0"/>
              <w:spacing w:before="0" w:after="283"/>
              <w:jc w:val="left"/>
              <w:rPr/>
            </w:pPr>
            <w:r>
              <w:rPr/>
              <w:t> </w:t>
            </w:r>
          </w:p>
        </w:tc>
        <w:tc>
          <w:tcPr>
            <w:tcW w:w="178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19, 2024</w:t>
            </w:r>
          </w:p>
        </w:tc>
      </w:tr>
      <w:tr>
        <w:trPr/>
        <w:tc>
          <w:tcPr>
            <w:tcW w:w="22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Soon Huat Lim</w:t>
            </w:r>
          </w:p>
        </w:tc>
        <w:tc>
          <w:tcPr>
            <w:tcW w:w="146" w:type="dxa"/>
            <w:tcBorders/>
          </w:tcPr>
          <w:p>
            <w:pPr>
              <w:pStyle w:val="TableContents"/>
              <w:bidi w:val="0"/>
              <w:spacing w:before="0" w:after="283"/>
              <w:jc w:val="left"/>
              <w:rPr/>
            </w:pPr>
            <w:r>
              <w:rPr/>
              <w:t> </w:t>
            </w:r>
          </w:p>
        </w:tc>
        <w:tc>
          <w:tcPr>
            <w:tcW w:w="37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c>
          <w:tcPr>
            <w:tcW w:w="146" w:type="dxa"/>
            <w:tcBorders/>
          </w:tcPr>
          <w:p>
            <w:pPr>
              <w:pStyle w:val="TableContents"/>
              <w:bidi w:val="0"/>
              <w:spacing w:before="0" w:after="283"/>
              <w:jc w:val="left"/>
              <w:rPr/>
            </w:pPr>
            <w:r>
              <w:rPr/>
              <w:t> </w:t>
            </w:r>
          </w:p>
        </w:tc>
        <w:tc>
          <w:tcPr>
            <w:tcW w:w="1786" w:type="dxa"/>
            <w:tcBorders/>
          </w:tcPr>
          <w:p>
            <w:pPr>
              <w:pStyle w:val="TableContents"/>
              <w:bidi w:val="0"/>
              <w:spacing w:before="0" w:after="283"/>
              <w:jc w:val="left"/>
              <w:rPr/>
            </w:pPr>
            <w:r>
              <w:rPr/>
              <w:t> </w:t>
            </w:r>
          </w:p>
        </w:tc>
      </w:tr>
      <w:tr>
        <w:trPr/>
        <w:tc>
          <w:tcPr>
            <w:tcW w:w="225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76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19, 2024</w:t>
            </w:r>
          </w:p>
        </w:tc>
      </w:tr>
      <w:tr>
        <w:trPr/>
        <w:tc>
          <w:tcPr>
            <w:tcW w:w="22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Haiyan Huang</w:t>
            </w:r>
          </w:p>
        </w:tc>
        <w:tc>
          <w:tcPr>
            <w:tcW w:w="146" w:type="dxa"/>
            <w:tcBorders/>
          </w:tcPr>
          <w:p>
            <w:pPr>
              <w:pStyle w:val="TableContents"/>
              <w:bidi w:val="0"/>
              <w:spacing w:before="0" w:after="283"/>
              <w:jc w:val="left"/>
              <w:rPr/>
            </w:pPr>
            <w:r>
              <w:rPr/>
              <w:t> </w:t>
            </w:r>
          </w:p>
        </w:tc>
        <w:tc>
          <w:tcPr>
            <w:tcW w:w="37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(principal financial officer and </w:t>
              <w:br/>
              <w:t>principal accounting officer)</w:t>
            </w:r>
          </w:p>
        </w:tc>
        <w:tc>
          <w:tcPr>
            <w:tcW w:w="146" w:type="dxa"/>
            <w:tcBorders/>
          </w:tcPr>
          <w:p>
            <w:pPr>
              <w:pStyle w:val="TableContents"/>
              <w:bidi w:val="0"/>
              <w:spacing w:before="0" w:after="283"/>
              <w:jc w:val="left"/>
              <w:rPr/>
            </w:pPr>
            <w:r>
              <w:rPr/>
              <w:t> </w:t>
            </w:r>
          </w:p>
        </w:tc>
        <w:tc>
          <w:tcPr>
            <w:tcW w:w="1786" w:type="dxa"/>
            <w:tcBorders/>
          </w:tcPr>
          <w:p>
            <w:pPr>
              <w:pStyle w:val="TableContents"/>
              <w:bidi w:val="0"/>
              <w:spacing w:before="0" w:after="283"/>
              <w:jc w:val="left"/>
              <w:rPr/>
            </w:pPr>
            <w:r>
              <w:rPr/>
              <w:t> </w:t>
            </w:r>
          </w:p>
        </w:tc>
      </w:tr>
    </w:tbl>
    <w:tbl>
      <w:tblPr>
        <w:tblW w:w="3260" w:type="dxa"/>
        <w:jc w:val="left"/>
        <w:tblInd w:w="0" w:type="dxa"/>
        <w:tblLayout w:type="fixed"/>
        <w:tblCellMar>
          <w:top w:w="0" w:type="dxa"/>
          <w:left w:w="0" w:type="dxa"/>
          <w:bottom w:w="0" w:type="dxa"/>
          <w:right w:w="0" w:type="dxa"/>
        </w:tblCellMar>
      </w:tblPr>
      <w:tblGrid>
        <w:gridCol w:w="541"/>
        <w:gridCol w:w="146"/>
        <w:gridCol w:w="2236"/>
        <w:gridCol w:w="146"/>
        <w:gridCol w:w="191"/>
      </w:tblGrid>
      <w:tr>
        <w:trPr/>
        <w:tc>
          <w:tcPr>
            <w:tcW w:w="54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2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Soon Huat Lim</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5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Soon Huat Lim</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5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Title: </w:t>
            </w:r>
            <w:r>
              <w:rPr>
                <w:rFonts w:ascii="Times New Roman PS Std;serif" w:hAnsi="Times New Roman PS Std;serif"/>
                <w:b w:val="false"/>
                <w:i/>
                <w:caps w:val="false"/>
                <w:smallCaps w:val="false"/>
                <w:sz w:val="20"/>
              </w:rPr>
              <w:t>Attorney-in-fact</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 OF AUTHORIZED REPRESENTATIVE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Securities Act of 1933, as amended, the undersigned, the duly authorized representative in the United States of Trident Digital Tech Holdings Ltd, has signed this registration statement or amendment thereto in New York, United States on January 19, 2024.</w:t>
      </w:r>
    </w:p>
    <w:tbl>
      <w:tblPr>
        <w:tblW w:w="3907" w:type="dxa"/>
        <w:jc w:val="left"/>
        <w:tblInd w:w="0" w:type="dxa"/>
        <w:tblLayout w:type="fixed"/>
        <w:tblCellMar>
          <w:top w:w="0" w:type="dxa"/>
          <w:left w:w="0" w:type="dxa"/>
          <w:bottom w:w="0" w:type="dxa"/>
          <w:right w:w="0" w:type="dxa"/>
        </w:tblCellMar>
      </w:tblPr>
      <w:tblGrid>
        <w:gridCol w:w="161"/>
        <w:gridCol w:w="146"/>
        <w:gridCol w:w="453"/>
        <w:gridCol w:w="157"/>
        <w:gridCol w:w="2990"/>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00" w:type="dxa"/>
            <w:gridSpan w:val="3"/>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U.S. Representative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3"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57" w:type="dxa"/>
            <w:tcBorders/>
            <w:vAlign w:val="bottom"/>
          </w:tcPr>
          <w:p>
            <w:pPr>
              <w:pStyle w:val="TableContents"/>
              <w:bidi w:val="0"/>
              <w:spacing w:before="0" w:after="283"/>
              <w:jc w:val="left"/>
              <w:rPr/>
            </w:pPr>
            <w:r>
              <w:rPr/>
              <w:t> </w:t>
            </w:r>
          </w:p>
        </w:tc>
        <w:tc>
          <w:tcPr>
            <w:tcW w:w="299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Colleen A. De Vries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99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Colleen A. De Vries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99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Senior Vice President</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1" w:name="ff12024a3ex1-1_trident.htm"/>
      <w:bookmarkStart w:id="42" w:name="ksff12024a3ex11_trident"/>
      <w:bookmarkEnd w:id="41"/>
      <w:bookmarkEnd w:id="42"/>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EDDID SECURITIES USA,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UNDERWRITING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Eddid Securities USA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Broadway, Suite 801,</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Trident Digital Tech Holdings Ltd, an exempted company incorporated in the Cayman Islands with limited liability (collectively with its subsidiaries and affiliates, including, without limitation, all entities disclosed or described in the Registration Statement (as hereinafter defined) as being subsidiaries or affiliates of Trident Digital Tech Holdings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confirms its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with </w:t>
      </w:r>
      <w:r>
        <w:rPr>
          <w:rFonts w:ascii="Times New Roman;Times;Serif" w:hAnsi="Times New Roman;Times;Serif"/>
          <w:b/>
          <w:i w:val="false"/>
          <w:caps w:val="false"/>
          <w:smallCaps w:val="false"/>
          <w:sz w:val="20"/>
        </w:rPr>
        <w:t>Eddid Securities USA, Inc.</w:t>
      </w:r>
      <w:r>
        <w:rPr>
          <w:rFonts w:ascii="Times New Roman;Times;Serif" w:hAnsi="Times New Roman;Times;Serif"/>
          <w:b w:val="false"/>
          <w:i w:val="false"/>
          <w:caps w:val="false"/>
          <w:smallCaps w:val="false"/>
          <w:sz w:val="20"/>
        </w:rPr>
        <w:t xml:space="preserve"> (hereinafter referred to as “</w:t>
      </w:r>
      <w:r>
        <w:rPr>
          <w:rFonts w:ascii="Times New Roman;Times;Serif" w:hAnsi="Times New Roman;Times;Serif"/>
          <w:b/>
          <w:i w:val="false"/>
          <w:caps w:val="false"/>
          <w:smallCaps w:val="false"/>
          <w:sz w:val="20"/>
        </w:rPr>
        <w:t>you</w:t>
      </w:r>
      <w:r>
        <w:rPr>
          <w:rFonts w:ascii="Times New Roman;Times;Serif" w:hAnsi="Times New Roman;Times;Serif"/>
          <w:b w:val="false"/>
          <w:i w:val="false"/>
          <w:caps w:val="false"/>
          <w:smallCaps w:val="false"/>
          <w:sz w:val="20"/>
        </w:rPr>
        <w:t>” (including its correlatives) or the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and, together with the Company,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1. </w:t>
      </w:r>
      <w:r>
        <w:rPr>
          <w:rFonts w:ascii="Times New Roman;Times;Serif" w:hAnsi="Times New Roman;Times;Serif"/>
          <w:b w:val="false"/>
          <w:i w:val="false"/>
          <w:caps w:val="false"/>
          <w:smallCaps w:val="false"/>
          <w:sz w:val="20"/>
          <w:u w:val="single"/>
        </w:rPr>
        <w:t>Purchase and Sale of Firm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Firm Shares</w:t>
      </w:r>
      <w:r>
        <w:rPr>
          <w:rFonts w:ascii="Times New Roman;Times;Serif" w:hAnsi="Times New Roman;Times;Serif"/>
          <w:b w:val="false"/>
          <w:i/>
          <w:caps w:val="false"/>
          <w:smallCaps w:val="false"/>
          <w:sz w:val="20"/>
        </w:rPr>
        <w:t>.</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Nature and Purchase of Firm Shares</w:t>
      </w:r>
      <w:r>
        <w:rPr>
          <w:rFonts w:ascii="Times New Roman;Times;Serif" w:hAnsi="Times New Roman;Times;Serif"/>
          <w:b w:val="false"/>
          <w:i w:val="false"/>
          <w:caps w:val="false"/>
          <w:smallCaps w:val="false"/>
          <w:sz w:val="20"/>
        </w:rPr>
        <w:t>.</w:t>
      </w:r>
    </w:p>
    <w:p>
      <w:pPr>
        <w:pStyle w:val="TextBody"/>
        <w:bidi w:val="0"/>
        <w:spacing w:before="0" w:after="0"/>
        <w:ind w:left="144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basis of the representations and warranties herein contained, but subject to the terms and conditions herein set forth, the Company agrees to issue and sell to the Underwriter, an aggregate of [●] shares (the “</w:t>
      </w:r>
      <w:r>
        <w:rPr>
          <w:rFonts w:ascii="Times New Roman;Times;Serif" w:hAnsi="Times New Roman;Times;Serif"/>
          <w:b/>
          <w:i w:val="false"/>
          <w:caps w:val="false"/>
          <w:smallCaps w:val="false"/>
          <w:sz w:val="20"/>
        </w:rPr>
        <w:t>Firm Shares</w:t>
      </w:r>
      <w:r>
        <w:rPr>
          <w:rFonts w:ascii="Times New Roman;Times;Serif" w:hAnsi="Times New Roman;Times;Serif"/>
          <w:b w:val="false"/>
          <w:i w:val="false"/>
          <w:caps w:val="false"/>
          <w:smallCaps w:val="false"/>
          <w:sz w:val="20"/>
        </w:rPr>
        <w:t>”) of the Company’s American depositary shares, each representing [ ] Class B ordinary shares of the Company, par value $0.00001 per share (the “</w:t>
      </w:r>
      <w:r>
        <w:rPr>
          <w:rFonts w:ascii="Times New Roman;Times;Serif" w:hAnsi="Times New Roman;Times;Serif"/>
          <w:b/>
          <w:i w:val="false"/>
          <w:caps w:val="false"/>
          <w:smallCaps w:val="false"/>
          <w:sz w:val="20"/>
        </w:rPr>
        <w:t>ADS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Underwriter agrees to purchase from the Company the number of Firm Shares set forth opposite its name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attached hereto and made a part hereof at a purchase price of $[●] per Firm Share (94% of the per Firm Share offering price), and with such pricing information set forth in </w:t>
      </w:r>
      <w:r>
        <w:rPr>
          <w:rFonts w:ascii="Times New Roman;Times;Serif" w:hAnsi="Times New Roman;Times;Serif"/>
          <w:b w:val="false"/>
          <w:i w:val="false"/>
          <w:caps w:val="false"/>
          <w:smallCaps w:val="false"/>
          <w:sz w:val="20"/>
          <w:u w:val="single"/>
        </w:rPr>
        <w:t>Schedule 2-A</w:t>
      </w:r>
      <w:r>
        <w:rPr>
          <w:rFonts w:ascii="Times New Roman;Times;Serif" w:hAnsi="Times New Roman;Times;Serif"/>
          <w:b w:val="false"/>
          <w:i w:val="false"/>
          <w:caps w:val="false"/>
          <w:smallCaps w:val="false"/>
          <w:sz w:val="20"/>
        </w:rPr>
        <w:t xml:space="preserve"> hereof. The Firm Shares are to be offered initially to the public at the offering price set forth on the cover page of the Prospectus (as defined in Section 2.1.1 hereof).</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agrees to engage the Underwriter for the period beginning on January 9, 2024 and ending eighteen (12) months thereafter or upon the final closing of the Offering (as defined below), whichever is sooner (the “</w:t>
      </w:r>
      <w:r>
        <w:rPr>
          <w:rFonts w:ascii="Times New Roman;Times;Serif" w:hAnsi="Times New Roman;Times;Serif"/>
          <w:b/>
          <w:i w:val="false"/>
          <w:caps w:val="false"/>
          <w:smallCaps w:val="false"/>
          <w:sz w:val="20"/>
        </w:rPr>
        <w:t>Engagement Period</w:t>
      </w:r>
      <w:r>
        <w:rPr>
          <w:rFonts w:ascii="Times New Roman;Times;Serif" w:hAnsi="Times New Roman;Times;Serif"/>
          <w:b w:val="false"/>
          <w:i w:val="false"/>
          <w:caps w:val="false"/>
          <w:smallCaps w:val="false"/>
          <w:sz w:val="20"/>
        </w:rPr>
        <w:t>”), to act as the Company’s (except as the Underwriter and the Company may otherwise agree in writing) underwriter and investment banker in connection with the Offering. The Firm Shares are hereinafter referred to together as the “</w:t>
      </w:r>
      <w:r>
        <w:rPr>
          <w:rFonts w:ascii="Times New Roman;Times;Serif" w:hAnsi="Times New Roman;Times;Serif"/>
          <w:b/>
          <w:i w:val="false"/>
          <w:caps w:val="false"/>
          <w:smallCaps w:val="false"/>
          <w:sz w:val="20"/>
        </w:rPr>
        <w:t>Public Securities</w:t>
      </w:r>
      <w:r>
        <w:rPr>
          <w:rFonts w:ascii="Times New Roman;Times;Serif" w:hAnsi="Times New Roman;Times;Serif"/>
          <w:b w:val="false"/>
          <w:i w:val="false"/>
          <w:caps w:val="false"/>
          <w:smallCaps w:val="false"/>
          <w:sz w:val="20"/>
        </w:rPr>
        <w:t>.” The offering and sale of the Public Securities is hereinafter referred to as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Payment and Delivery</w:t>
      </w:r>
      <w:r>
        <w:rPr>
          <w:rFonts w:ascii="Times New Roman;Times;Serif" w:hAnsi="Times New Roman;Times;Serif"/>
          <w:b w:val="false"/>
          <w:i w:val="false"/>
          <w:caps w:val="false"/>
          <w:smallCaps w:val="false"/>
          <w:sz w:val="20"/>
        </w:rPr>
        <w:t>. Delivery and payment for the Firm Shares shall be made at 10:00 a.m., Eastern time, on the second (2nd) Business Day (as defined below) following the effective date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of the Registration Statement (as defined in Section 2.1.1 below) (or the third (3rd) Business Day following the Effective Date if the Registration Statement is declared effective after 4:01 p.m., Eastern time) or at such earlier time as shall be agreed upon by the Parties, at the offices of Sichenzia Ross Ference Carmel LLP, 1185 Avenue of the Americas Street, 31st Floor, New York, New York 10036, Underwriter’s Counsel (“</w:t>
      </w:r>
      <w:r>
        <w:rPr>
          <w:rFonts w:ascii="Times New Roman;Times;Serif" w:hAnsi="Times New Roman;Times;Serif"/>
          <w:b/>
          <w:i w:val="false"/>
          <w:caps w:val="false"/>
          <w:smallCaps w:val="false"/>
          <w:sz w:val="20"/>
        </w:rPr>
        <w:t>Underwriter’s Counsel</w:t>
      </w:r>
      <w:r>
        <w:rPr>
          <w:rFonts w:ascii="Times New Roman;Times;Serif" w:hAnsi="Times New Roman;Times;Serif"/>
          <w:b w:val="false"/>
          <w:i w:val="false"/>
          <w:caps w:val="false"/>
          <w:smallCaps w:val="false"/>
          <w:sz w:val="20"/>
        </w:rPr>
        <w:t>”), or at such other place (or remotely by facsimile or other electronic transmission) as shall be agreed upon by the Parties. The hour and date of delivery and payment for the Firm Shares is hereinafter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Payment for the Firm Shares shall be made on the Closing Date by wire transfer in federal (same day) funds (“</w:t>
      </w:r>
      <w:r>
        <w:rPr>
          <w:rFonts w:ascii="Times New Roman;Times;Serif" w:hAnsi="Times New Roman;Times;Serif"/>
          <w:b/>
          <w:i w:val="false"/>
          <w:caps w:val="false"/>
          <w:smallCaps w:val="false"/>
          <w:sz w:val="20"/>
        </w:rPr>
        <w:t>Federal Funds</w:t>
      </w:r>
      <w:r>
        <w:rPr>
          <w:rFonts w:ascii="Times New Roman;Times;Serif" w:hAnsi="Times New Roman;Times;Serif"/>
          <w:b w:val="false"/>
          <w:i w:val="false"/>
          <w:caps w:val="false"/>
          <w:smallCaps w:val="false"/>
          <w:sz w:val="20"/>
        </w:rPr>
        <w:t>”), payable to the order of the Company upon delivery to the Underwriter of certificates (in form and substance satisfactory to the Underwriter) representing the Firm Shares (or through the facilities of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for the account of the Underwriter. The Firm Shares shall be registered in such name or names and in such authorized denominations as the Underwriter may request in writing at least two (2) full Business Days prior to the Closing Date. The Company will permit the Underwriter to examine and package the Firm Shares for delivery, at least one (1) full Business Day prior to the Closing Date. The Company shall not be obligated to sell or deliver the Firm Shares except upon tender of payment by the Underwriter for all of the Firm Shares. The term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a Saturday, a Sunday or a legal holiday or any other day on which commercial banks in the City of New York are authorized or required by law to remain closed,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Underwriter as of the Applicable Time (as defined below), as of the Closing Date,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Filing of 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Pursuant to the Securities Act</w:t>
      </w:r>
      <w:r>
        <w:rPr>
          <w:rFonts w:ascii="Times New Roman;Times;Serif" w:hAnsi="Times New Roman;Times;Serif"/>
          <w:b w:val="false"/>
          <w:i w:val="false"/>
          <w:caps w:val="false"/>
          <w:smallCaps w:val="false"/>
          <w:sz w:val="20"/>
        </w:rPr>
        <w:t>. The Company has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registration statement, and any amendment or amendments thereto, on Form F-1 (File No. 333-[●]), including any related prospectus or prospectuses, for the registration of the Public Securities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which registration statement and amendment or amendments have been prepared by the Company in conformity with the requirements of the Securities Act and the rules and regulations of the Commission under the Securities Act (the “</w:t>
      </w:r>
      <w:r>
        <w:rPr>
          <w:rFonts w:ascii="Times New Roman;Times;Serif" w:hAnsi="Times New Roman;Times;Serif"/>
          <w:b/>
          <w:i w:val="false"/>
          <w:caps w:val="false"/>
          <w:smallCaps w:val="false"/>
          <w:sz w:val="20"/>
        </w:rPr>
        <w:t>Securities Act Regulations</w:t>
      </w:r>
      <w:r>
        <w:rPr>
          <w:rFonts w:ascii="Times New Roman;Times;Serif" w:hAnsi="Times New Roman;Times;Serif"/>
          <w:b w:val="false"/>
          <w:i w:val="false"/>
          <w:caps w:val="false"/>
          <w:smallCaps w:val="false"/>
          <w:sz w:val="20"/>
        </w:rPr>
        <w:t>”). The conditions for use of Form F-1 as set forth in the General Instructions to such Form F-1, to register Public Securities under the Securities Act, have been satisfied. Except as the context may otherwise require, such registration statement, as amended, on file with the Commission at the time the registration statement became effective (including the Preliminary Prospectus (as defined below) included in the registration statement, financial statements, schedules, exhibits and all other documents filed as a part thereof or incorporated therein and all information deemed to be a part thereof as of the Effective Date pursuant to Rule 430A of the Securities Act Regulations (the “</w:t>
      </w:r>
      <w:r>
        <w:rPr>
          <w:rFonts w:ascii="Times New Roman;Times;Serif" w:hAnsi="Times New Roman;Times;Serif"/>
          <w:b/>
          <w:i w:val="false"/>
          <w:caps w:val="false"/>
          <w:smallCaps w:val="false"/>
          <w:sz w:val="20"/>
        </w:rPr>
        <w:t>Rule 430A Information</w:t>
      </w:r>
      <w:r>
        <w:rPr>
          <w:rFonts w:ascii="Times New Roman;Times;Serif" w:hAnsi="Times New Roman;Times;Serif"/>
          <w:b w:val="false"/>
          <w:i w:val="false"/>
          <w:caps w:val="false"/>
          <w:smallCaps w:val="false"/>
          <w:sz w:val="20"/>
        </w:rPr>
        <w:t>”)), is referred to herein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If the Company files any registration statement pursuant to Rule 462(b) of the Securities Act Regulations, then after such filing, the term “Registration Statement” shall include such registration statement filed pursuant to Rule 462(b). The Registration Statement has been declared effective by the Commission on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used prior to the effectiveness of the Registration Statement, and each prospectus that omitted the Rule 430A Information that was used after such effectiveness and prior to the execution and delivery of this Agreement, is herein called a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The Preliminary Prospectus, subject to completion, dated [DATE], 2024, that was included in the Registration Statement immediately prior to the Applicable Time is hereinafter called the “</w:t>
      </w:r>
      <w:r>
        <w:rPr>
          <w:rFonts w:ascii="Times New Roman;Times;Serif" w:hAnsi="Times New Roman;Times;Serif"/>
          <w:b/>
          <w:i w:val="false"/>
          <w:caps w:val="false"/>
          <w:smallCaps w:val="false"/>
          <w:sz w:val="20"/>
        </w:rPr>
        <w:t>Pricing Prospectus</w:t>
      </w:r>
      <w:r>
        <w:rPr>
          <w:rFonts w:ascii="Times New Roman;Times;Serif" w:hAnsi="Times New Roman;Times;Serif"/>
          <w:b w:val="false"/>
          <w:i w:val="false"/>
          <w:caps w:val="false"/>
          <w:smallCaps w:val="false"/>
          <w:sz w:val="20"/>
        </w:rPr>
        <w:t>.” The final prospectus in the form first furnished to the Underwriter for use in the Offering is hereinafter called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Any reference to the “most recent Preliminary Prospectus” shall be deemed to refer to the latest Preliminary Prospectus included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means [TIME] [a.m.]/[p.m.], Eastern time, on the date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Issuer Free Writing Prospectus</w:t>
      </w:r>
      <w:r>
        <w:rPr>
          <w:rFonts w:ascii="Times New Roman;Times;Serif" w:hAnsi="Times New Roman;Times;Serif"/>
          <w:b w:val="false"/>
          <w:i w:val="false"/>
          <w:caps w:val="false"/>
          <w:smallCaps w:val="false"/>
          <w:sz w:val="20"/>
        </w:rPr>
        <w:t>” means any “issuer free writing prospectus,” as defined in Rule 433 of the Securities Act Regulations (“</w:t>
      </w:r>
      <w:r>
        <w:rPr>
          <w:rFonts w:ascii="Times New Roman;Times;Serif" w:hAnsi="Times New Roman;Times;Serif"/>
          <w:b/>
          <w:i w:val="false"/>
          <w:caps w:val="false"/>
          <w:smallCaps w:val="false"/>
          <w:sz w:val="20"/>
        </w:rPr>
        <w:t>Rule 433</w:t>
      </w:r>
      <w:r>
        <w:rPr>
          <w:rFonts w:ascii="Times New Roman;Times;Serif" w:hAnsi="Times New Roman;Times;Serif"/>
          <w:b w:val="false"/>
          <w:i w:val="false"/>
          <w:caps w:val="false"/>
          <w:smallCaps w:val="false"/>
          <w:sz w:val="20"/>
        </w:rPr>
        <w:t>”), including, without limitation, any “free writing prospectus” (as defined in Rule 405 of the Securities Act Regulations) relating to the Public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Public Securities or of the Offering that does not reflect the final terms, in each case in the form filed or required to be filed with the Commission or, if not required to be filed, in the form retained in the Company’s records pursuant to Rule 433(g).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Issuer General Use Free Writing Prospectus</w:t>
      </w:r>
      <w:r>
        <w:rPr>
          <w:rFonts w:ascii="Times New Roman;Times;Serif" w:hAnsi="Times New Roman;Times;Serif"/>
          <w:b w:val="false"/>
          <w:i w:val="false"/>
          <w:caps w:val="false"/>
          <w:smallCaps w:val="false"/>
          <w:sz w:val="20"/>
        </w:rPr>
        <w:t>” means any Issuer Free Writing Prospectus that is intended for general distribution to prospective investors (other than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electronic road show,” as defined in Rule 433(h)(5) under the Securities Act (the “</w:t>
      </w:r>
      <w:r>
        <w:rPr>
          <w:rFonts w:ascii="Times New Roman;Times;Serif" w:hAnsi="Times New Roman;Times;Serif"/>
          <w:b/>
          <w:i w:val="false"/>
          <w:caps w:val="false"/>
          <w:smallCaps w:val="false"/>
          <w:sz w:val="20"/>
        </w:rPr>
        <w:t>Bona Fide Electronic Road Show</w:t>
      </w:r>
      <w:r>
        <w:rPr>
          <w:rFonts w:ascii="Times New Roman;Times;Serif" w:hAnsi="Times New Roman;Times;Serif"/>
          <w:b w:val="false"/>
          <w:i w:val="false"/>
          <w:caps w:val="false"/>
          <w:smallCaps w:val="false"/>
          <w:sz w:val="20"/>
        </w:rPr>
        <w:t xml:space="preserve">”)), as evidenced by its being specified in </w:t>
      </w:r>
      <w:r>
        <w:rPr>
          <w:rFonts w:ascii="Times New Roman;Times;Serif" w:hAnsi="Times New Roman;Times;Serif"/>
          <w:b w:val="false"/>
          <w:i w:val="false"/>
          <w:caps w:val="false"/>
          <w:smallCaps w:val="false"/>
          <w:sz w:val="20"/>
          <w:u w:val="single"/>
        </w:rPr>
        <w:t>Schedule 2-B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Issuer Limited Use Free Writing Prospectus</w:t>
      </w:r>
      <w:r>
        <w:rPr>
          <w:rFonts w:ascii="Times New Roman;Times;Serif" w:hAnsi="Times New Roman;Times;Serif"/>
          <w:b w:val="false"/>
          <w:i w:val="false"/>
          <w:caps w:val="false"/>
          <w:smallCaps w:val="false"/>
          <w:sz w:val="20"/>
        </w:rPr>
        <w:t>” means any Issuer Free Writing Prospectus that is not an Issuer General Use Free Writing Prospectus.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Pricing Disclosure Package</w:t>
      </w:r>
      <w:r>
        <w:rPr>
          <w:rFonts w:ascii="Times New Roman;Times;Serif" w:hAnsi="Times New Roman;Times;Serif"/>
          <w:b w:val="false"/>
          <w:i w:val="false"/>
          <w:caps w:val="false"/>
          <w:smallCaps w:val="false"/>
          <w:sz w:val="20"/>
        </w:rPr>
        <w:t>” means any Issuer General Use Free Writing Prospectus issued at or prior to the Applicable Time, the Pricing Prospectus and the information included on </w:t>
      </w:r>
      <w:r>
        <w:rPr>
          <w:rFonts w:ascii="Times New Roman;Times;Serif" w:hAnsi="Times New Roman;Times;Serif"/>
          <w:b w:val="false"/>
          <w:i w:val="false"/>
          <w:caps w:val="false"/>
          <w:smallCaps w:val="false"/>
          <w:sz w:val="20"/>
          <w:u w:val="single"/>
        </w:rPr>
        <w:t>Schedule 2-A</w:t>
      </w:r>
      <w:r>
        <w:rPr>
          <w:rFonts w:ascii="Times New Roman;Times;Serif" w:hAnsi="Times New Roman;Times;Serif"/>
          <w:b w:val="false"/>
          <w:i w:val="false"/>
          <w:caps w:val="false"/>
          <w:smallCaps w:val="false"/>
          <w:sz w:val="20"/>
        </w:rPr>
        <w:t> hereto, all considered together.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Pursuant to the Exchange Act</w:t>
      </w:r>
      <w:r>
        <w:rPr>
          <w:rFonts w:ascii="Times New Roman;Times;Serif" w:hAnsi="Times New Roman;Times;Serif"/>
          <w:b w:val="false"/>
          <w:i w:val="false"/>
          <w:caps w:val="false"/>
          <w:smallCaps w:val="false"/>
          <w:sz w:val="20"/>
        </w:rPr>
        <w:t>. The Company has filed with the Commission a Form 8-A (File No. [NUMBER]) providing for the registration pursuant to Section 12(b)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of the Public Securities. The registration of the Public Securities under the Exchange Act has been declared effective by the Commission on or prior to the date hereof. The Company has taken no action designed to, or likely to have the effect of, terminating the registration of the Public Securities under the Exchange Act, nor has the Company received any notification that the Commission is contemplating terminating such registration.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Stock Exchange Listing</w:t>
      </w:r>
      <w:r>
        <w:rPr>
          <w:rFonts w:ascii="Times New Roman;Times;Serif" w:hAnsi="Times New Roman;Times;Serif"/>
          <w:b w:val="false"/>
          <w:i w:val="false"/>
          <w:caps w:val="false"/>
          <w:smallCaps w:val="false"/>
          <w:sz w:val="20"/>
        </w:rPr>
        <w:t>. The Public Securities have been approved for listing on the Nasdaq Capital Market (the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subject only to official notice of issuance, and the Company has taken no action designed to, or likely to have the effect of, delisting the Public Securities from the Exchange, nor has the Company received any notification that the Exchange is contemplating terminating such listing except as described in the Registration Statement, the Pricing Disclosure Package and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No Stop Orders, etc</w:t>
      </w:r>
      <w:r>
        <w:rPr>
          <w:rFonts w:ascii="Times New Roman;Times;Serif" w:hAnsi="Times New Roman;Times;Serif"/>
          <w:b w:val="false"/>
          <w:i w:val="false"/>
          <w:caps w:val="false"/>
          <w:smallCaps w:val="false"/>
          <w:sz w:val="20"/>
        </w:rPr>
        <w:t>. Neither the Commission nor any state regulatory authority has issued any order preventing or suspending the use of the Registration Statement, any Preliminary Prospectus or the Prospectus or has instituted or threatened to institute, any proceedings with respect to such an order. The Company has complied with each request (if any) from the Commission for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Disclosures in Registration Statement</w:t>
      </w:r>
      <w:r>
        <w:rPr>
          <w:rFonts w:ascii="Times New Roman;Times;Serif" w:hAnsi="Times New Roman;Times;Serif"/>
          <w:b w:val="false"/>
          <w:i w:val="false"/>
          <w:caps w:val="false"/>
          <w:smallCaps w:val="false"/>
          <w:sz w:val="20"/>
        </w:rPr>
        <w:t>.</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2.4.1 </w:t>
      </w:r>
      <w:r>
        <w:rPr>
          <w:rFonts w:ascii="Times New Roman;Times;Serif" w:hAnsi="Times New Roman;Times;Serif"/>
          <w:b w:val="false"/>
          <w:i w:val="false"/>
          <w:caps w:val="false"/>
          <w:smallCaps w:val="false"/>
          <w:sz w:val="20"/>
          <w:u w:val="single"/>
        </w:rPr>
        <w:t>Compliance with Securities Act and 10b-5 Representation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time of effectiveness of the Registration Statement (or at the time of any post-effective amendment to the Registration Statement) and at all times subsequent thereto up to the Closing Date, the Registration Statement, the Preliminary Prospectus and the Prospectus do and will contain all material statements that are required to be stated therein in accordance with the Securities Act and the Securities Act Regulations, and did or will, in all material respects, conform to the requirements of the Securities Act and the Securities Act Regulations. Each of the Registration Statement and any post-effective amendment thereto, at the time it became effective, complied in all material respects with the requirements of the Securities Act and the Securities Act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Securities Act Regulations. Each Preliminary Prospectus delivered to the Underwriter for use in connection with this Offering and the Prospectus was or will be identical to the electronically transmitted copies thereof filed with the Commission pursuant to the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except to the extent permitted by Regulation S-T promulgated under the Securities Act (“</w:t>
      </w:r>
      <w:r>
        <w:rPr>
          <w:rFonts w:ascii="Times New Roman;Times;Serif" w:hAnsi="Times New Roman;Times;Serif"/>
          <w:b/>
          <w:i w:val="false"/>
          <w:caps w:val="false"/>
          <w:smallCaps w:val="false"/>
          <w:sz w:val="20"/>
        </w:rPr>
        <w:t>Regulation S-T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Neither the Registration Statement nor any amendment thereto, at its effective time, as of the Applicable Time, at the Closing Date, contained, contains or will contain an untrue statement of a material fact or omitted, omits or will omit to state a material fact required to be stated therein or necessary to make the statements therein, in the light of the circumstances under which they were made, not misleading.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Pricing Disclosure Package, as of the Applicable Time, at the Closing Date, did not, does not and will not include an untrue statement of a material fact or omit to state a material fact necessary in order to make the statements therein, in the light of the circumstances under which they were made, not misleading; and each Issuer Limited Use Free Writing Prospectus hereto does not conflict in any material respect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representation and warranty shall not apply to statements made or statements omitted in reliance upon and in conformity with written information furnished to the Company with respect to the Underwriter by the Underwriter expressly for use in the Registration Statement, the Pricing Prospectus or the Prospectus or any amendment thereof or supplement thereto. The Parties acknowledge and agree that such information provided by or on behalf of the Underwriter consists solely of the following: the names of the Underwriter, the information with respect to stabilizing transactions contained in the section “Underwriting - Price Stabilization, Short Positions, and Penalty Bids”, the section “Discounts and Expenses,” the distribution information under “Electronic Offer, Sale and Distribution of Securities”, the number of Firm Shares to be purchased by the Underwriter. (the “</w:t>
      </w:r>
      <w:r>
        <w:rPr>
          <w:rFonts w:ascii="Times New Roman;Times;Serif" w:hAnsi="Times New Roman;Times;Serif"/>
          <w:b/>
          <w:i w:val="false"/>
          <w:caps w:val="false"/>
          <w:smallCaps w:val="false"/>
          <w:sz w:val="20"/>
        </w:rPr>
        <w:t>Underwriter’s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Neither the Prospectus nor any amendment or supplement thereto, as of its issue date, at the time of any filing with the Commission pursuant to Rule 424(b), at the Closing Date,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representation and warranty shall not apply to the Underwriter’s Information.</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2.4.2 </w:t>
      </w:r>
      <w:r>
        <w:rPr>
          <w:rFonts w:ascii="Times New Roman;Times;Serif" w:hAnsi="Times New Roman;Times;Serif"/>
          <w:b w:val="false"/>
          <w:i w:val="false"/>
          <w:caps w:val="false"/>
          <w:smallCaps w:val="false"/>
          <w:sz w:val="20"/>
          <w:u w:val="single"/>
        </w:rPr>
        <w:t>Disclosure of Agreements</w:t>
      </w:r>
      <w:r>
        <w:rPr>
          <w:rFonts w:ascii="Times New Roman;Times;Serif" w:hAnsi="Times New Roman;Times;Serif"/>
          <w:b w:val="false"/>
          <w:i w:val="false"/>
          <w:caps w:val="false"/>
          <w:smallCaps w:val="false"/>
          <w:sz w:val="20"/>
        </w:rPr>
        <w:t>. The agreements and documents described in the Registration Statement, the Pricing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is a party or by which it or any of its properties is or may be bound or affected and that is (i) referred to in the Registration Statement, the Pricing Disclosure Package and the Prospectus, or (ii) material to the Company’s business, has been duly authorized and validly executed by the Company, is in full force and effect in all material respects and constitutes the legal, valid and binding obligation of the Company, enforceable against the Company and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any other party is in default thereunder and no event has occurred that, with the lapse of time or the giving of notice, or both, would constitute a default thereunder except for such defaults that would not reasonably be expected to result in a Material Adverse Change (as defined in Section 2.5.1 below). Performance by the Company of the material provisions of such agreements or instruments will not result in a violation of any existing applicable law, rule, regulation, judgment, order or decree of any Governmental Entity, including, without limitation, those relating to environmental laws and regulations.</w:t>
      </w:r>
    </w:p>
    <w:p>
      <w:pPr>
        <w:pStyle w:val="TextBody"/>
        <w:bidi w:val="0"/>
        <w:spacing w:before="0" w:after="0"/>
        <w:ind w:left="180" w:right="0" w:firstLine="3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2.4.3 </w:t>
      </w:r>
      <w:r>
        <w:rPr>
          <w:rFonts w:ascii="Times New Roman;Times;Serif" w:hAnsi="Times New Roman;Times;Serif"/>
          <w:b w:val="false"/>
          <w:i w:val="false"/>
          <w:caps w:val="false"/>
          <w:smallCaps w:val="false"/>
          <w:sz w:val="20"/>
          <w:u w:val="single"/>
        </w:rPr>
        <w:t>Prior Securities Transactions</w:t>
      </w:r>
      <w:r>
        <w:rPr>
          <w:rFonts w:ascii="Times New Roman;Times;Serif" w:hAnsi="Times New Roman;Times;Serif"/>
          <w:b w:val="false"/>
          <w:i w:val="false"/>
          <w:caps w:val="false"/>
          <w:smallCaps w:val="false"/>
          <w:sz w:val="20"/>
        </w:rPr>
        <w:t>. No securities of the Company have been sold by the Company or by or on behalf of, or for the benefit of, any person or persons controlling, controlled by or under common control with the Company, except as disclosed in the Registration Statement, the Pricing Disclosure Package and the Preliminary Prospectus.</w:t>
      </w:r>
    </w:p>
    <w:p>
      <w:pPr>
        <w:pStyle w:val="TextBody"/>
        <w:bidi w:val="0"/>
        <w:spacing w:before="0" w:after="0"/>
        <w:ind w:left="180" w:right="0" w:firstLine="3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2.4.4 </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 The disclosures in the Registration Statement, the Pricing Disclosure Package and the Prospectus concerning the effects of applicable federal, state, local and any applicable foreign laws, rules and regulations relating to the Offering and the Company’s business as currently conducted are correct and complete in all material respects.</w:t>
      </w:r>
    </w:p>
    <w:p>
      <w:pPr>
        <w:pStyle w:val="TextBody"/>
        <w:bidi w:val="0"/>
        <w:spacing w:before="0" w:after="0"/>
        <w:ind w:left="180" w:right="0" w:firstLine="3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2.4.5 </w:t>
      </w:r>
      <w:r>
        <w:rPr>
          <w:rFonts w:ascii="Times New Roman;Times;Serif" w:hAnsi="Times New Roman;Times;Serif"/>
          <w:b w:val="false"/>
          <w:i w:val="false"/>
          <w:caps w:val="false"/>
          <w:smallCaps w:val="false"/>
          <w:sz w:val="20"/>
          <w:u w:val="single"/>
        </w:rPr>
        <w:t>No Other Distribution of Offering Materials</w:t>
      </w:r>
      <w:r>
        <w:rPr>
          <w:rFonts w:ascii="Times New Roman;Times;Serif" w:hAnsi="Times New Roman;Times;Serif"/>
          <w:b w:val="false"/>
          <w:i w:val="false"/>
          <w:caps w:val="false"/>
          <w:smallCaps w:val="false"/>
          <w:sz w:val="20"/>
        </w:rPr>
        <w:t>. The Company has not, directly or indirectly, distributed and will not distribute any offering material in connection with the Offering other than any Preliminary Prospectus, any Issuer Free Writing Prospectus, the Prospectus and other materials, if any, permitted under the Securities Act and consistent with Section 3.2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Changes After Dates in Registration Statement</w:t>
      </w:r>
      <w:r>
        <w:rPr>
          <w:rFonts w:ascii="Times New Roman;Times;Serif" w:hAnsi="Times New Roman;Times;Serif"/>
          <w:b w:val="false"/>
          <w:i w:val="false"/>
          <w:caps w:val="false"/>
          <w:smallCaps w:val="false"/>
          <w:sz w:val="20"/>
        </w:rPr>
        <w:t>.</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2.5.1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Since the respective dates as of which information is given in the Registration Statement, the Pricing Disclosure Package and the Prospectus, except as otherwise specifically stated therein: (i) there has been no material adverse change in the condition, financial or otherwise, results of operations, business, assets or prospects of the Company and its subsidiaries (“Subsidiaries,” and each, “Subsidiary”) taken as a whole, nor any change or development that, individually or in the aggregate, would have a material adverse effect on the condition (financial or otherwise), results of operations, business, assets or prospects of the Company and its Subsidiaries taken as a whole (“Material Adverse Change”); (ii) there have been no material transactions entered into by the Company or its Subsidiaries, other than as contemplated pursuant to this Agreement; and (iii) no executive officer or director of the Company has resigned from any position with the Company.</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2.5.2 </w:t>
      </w:r>
      <w:r>
        <w:rPr>
          <w:rFonts w:ascii="Times New Roman;Times;Serif" w:hAnsi="Times New Roman;Times;Serif"/>
          <w:b w:val="false"/>
          <w:i w:val="false"/>
          <w:caps w:val="false"/>
          <w:smallCaps w:val="false"/>
          <w:sz w:val="20"/>
          <w:u w:val="single"/>
        </w:rPr>
        <w:t>Recent Securities Transactions, etc</w:t>
      </w:r>
      <w:r>
        <w:rPr>
          <w:rFonts w:ascii="Times New Roman;Times;Serif" w:hAnsi="Times New Roman;Times;Serif"/>
          <w:b w:val="false"/>
          <w:i w:val="false"/>
          <w:caps w:val="false"/>
          <w:smallCaps w:val="false"/>
          <w:sz w:val="20"/>
        </w:rPr>
        <w:t>. Subsequent to the respective dates as of which information is given in the Registration Statement, the Pricing Disclosure Package and the Prospectus, and except as may otherwise be indicated or contemplated herein or disclosed in the Registration Statement, the Pricing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Disclosures in Commission Filings</w:t>
      </w:r>
      <w:r>
        <w:rPr>
          <w:rFonts w:ascii="Times New Roman;Times;Serif" w:hAnsi="Times New Roman;Times;Serif"/>
          <w:b w:val="false"/>
          <w:i w:val="false"/>
          <w:caps w:val="false"/>
          <w:smallCaps w:val="false"/>
          <w:sz w:val="20"/>
        </w:rPr>
        <w:t>. None of the Company’s filings with, or other documents furnished to, the Commission contained any untrue statement of a material fact or omitted to state any material fact necessary in order to make the statements therein, in the light of the circumstances under which they were made, not misleading; provided, however, that this representation and warranty shall not apply to the Underwriter’s Information. The Company has made all filings with the Commission required under the Exchange Act and the rules and regulations of the Commission promulgated thereunder (the “</w:t>
      </w:r>
      <w:r>
        <w:rPr>
          <w:rFonts w:ascii="Times New Roman;Times;Serif" w:hAnsi="Times New Roman;Times;Serif"/>
          <w:b/>
          <w:i w:val="false"/>
          <w:caps w:val="false"/>
          <w:smallCaps w:val="false"/>
          <w:sz w:val="20"/>
        </w:rPr>
        <w:t>Exchange Act Regulations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Marcum Asia CPAs LLP (the “</w:t>
      </w:r>
      <w:r>
        <w:rPr>
          <w:rFonts w:ascii="Times New Roman;Times;Serif" w:hAnsi="Times New Roman;Times;Serif"/>
          <w:b/>
          <w:i w:val="false"/>
          <w:caps w:val="false"/>
          <w:smallCaps w:val="false"/>
          <w:sz w:val="20"/>
        </w:rPr>
        <w:t>Auditor</w:t>
      </w:r>
      <w:r>
        <w:rPr>
          <w:rFonts w:ascii="Times New Roman;Times;Serif" w:hAnsi="Times New Roman;Times;Serif"/>
          <w:b w:val="false"/>
          <w:i w:val="false"/>
          <w:caps w:val="false"/>
          <w:smallCaps w:val="false"/>
          <w:sz w:val="20"/>
        </w:rPr>
        <w:t>”), whose report is filed with the Commission as part of the Registration Statement, the Pricing Disclosure Package and the Prospectus, is an independent registered public accounting firm as required by the Securities Act and the Securities Act Regulations and the Public Company Accounting Oversight Board., including the rules and regulations promulgated by such entity. The Auditor is currently registered and in good standing with the PCAOB. The Auditor has not, during the periods covered by the financial statements included in the Registration Statement, the Pricing Disclosure Package and the Prospectus, provided to the Company any non-audit services, within the meaning of such term in Section 10A(g)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Financial Statements, etc</w:t>
      </w:r>
      <w:r>
        <w:rPr>
          <w:rFonts w:ascii="Times New Roman;Times;Serif" w:hAnsi="Times New Roman;Times;Serif"/>
          <w:b w:val="false"/>
          <w:i w:val="false"/>
          <w:caps w:val="false"/>
          <w:smallCaps w:val="false"/>
          <w:sz w:val="20"/>
        </w:rPr>
        <w:t>. The financial statements, including the notes thereto and supporting schedules (if any) included in the Registration Statement, the Pricing Disclosure Package and the Prospectus, fairly present the financial condition, the results of operations and the cash flows of the Company at the dates and for the periods to which they apply; and such financial statements have been prepared in conformity with U.S.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consistently applied throughout the periods involved (provided that unaudited interim financial statements are subject to year-end audit adjustments that are not expected to be material in the aggregate and do not contain all footnotes required by GAAP); and the supporting schedules, if any, included in the Registration Statement present fairly the information required to be stated therein. Except as included therein, no other historical or pro forma financial statements or supporting schedules are required to be included in the Registration Statement, the Pricing Disclosure Package or the Prospectus under the Securities Act or the Securities Act Regulations. The “as adjusted” financial information and the related notes, if any, included in the Registration Statement, the Pricing Disclosure Package and the Prospectus have been properly compiled and prepared in accordance with the applicable requirements of the Securities Act and the Securities Act Regulations and present fairly the information shown therein, and, in the judgment of the Company, the assumptions used in the preparation thereof are reasonable and the adjustments used therein are appropriate to give effect to the transactions and circumstances referred to therein. All disclosures contained in the Registration Statement, the Pricing Disclosure Package or the Prospectus regarding “non-GAAP financial measures” (as such term is defined by the rules and regulations of the Commission), if any, materially comply with Regulation G of the Exchange Act and Item 10(e) of Regulation S-K of the Securities Act, to the extent applicable. the Registration Statement, the Pricing Disclosure Package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results of operations, liquidity, capital expenditures, capital resources, or significant components of revenues or expenses. Except as disclosed in the Registration Statement, the Pricing Disclosure Package and the Prospectus, (a) since the date of the last balance sheet included in the Registration Statement, the Pricing Disclosure Package and the Prospectus, neither the Company nor any of its direct or indirect subsidiaries, including each entity disclosed or described in the Registration Statement, the Pricing Disclosure Package and the Prospectus as being a Subsidiary,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or, other than in the ordinary course of business, any grants under any stock compensation plan, and (d) there has not been any Material Adverse Change in the Company’s long-term or short-term debt. The Company represents that it has no direct or indirect Subsidiaries other than those listed in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Authorized Capital; Options, etc</w:t>
      </w:r>
      <w:r>
        <w:rPr>
          <w:rFonts w:ascii="Times New Roman;Times;Serif" w:hAnsi="Times New Roman;Times;Serif"/>
          <w:b w:val="false"/>
          <w:i w:val="false"/>
          <w:caps w:val="false"/>
          <w:smallCaps w:val="false"/>
          <w:sz w:val="20"/>
        </w:rPr>
        <w:t>. The Company had, at the date or dates indicated in the Registration Statement, the Pricing Disclosure Package and the Prospectus, the duly authorized, issued and outstanding capitalization as set forth therein. Based on the assumptions stated in the Registration Statement, the Pricing Disclosure Package and the Prospectus, the Company will have on the Closing Date, as the case may be, the adjusted capitalization set forth therein. Except as set forth in, or contemplated by, the Registration Statement, the Pricing Disclosure Package and the Prospectus, on the Effective Date, as of the Applicable Time and on the Closing Date, there will be no stock options, warrants, or other rights to purchase or otherwise acquire any authorized, but unissued shares of capital stock of the Company or any security convertible into any class of capital stock of the Company, or any contracts or commitments to issue or sell any class of capital stock or any such options, warrants, rights or convertible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Valid Issuance of Securities, etc.</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2.10.1 </w:t>
      </w:r>
      <w:r>
        <w:rPr>
          <w:rFonts w:ascii="Times New Roman;Times;Serif" w:hAnsi="Times New Roman;Times;Serif"/>
          <w:b w:val="false"/>
          <w:i w:val="false"/>
          <w:caps w:val="false"/>
          <w:smallCaps w:val="false"/>
          <w:sz w:val="20"/>
          <w:u w:val="single"/>
        </w:rPr>
        <w:t>Outstanding Securities</w:t>
      </w:r>
      <w:r>
        <w:rPr>
          <w:rFonts w:ascii="Times New Roman;Times;Serif" w:hAnsi="Times New Roman;Times;Serif"/>
          <w:b w:val="false"/>
          <w:i w:val="false"/>
          <w:caps w:val="false"/>
          <w:smallCaps w:val="false"/>
          <w:sz w:val="20"/>
        </w:rPr>
        <w:t>. All issued and outstanding securities of the Company issued prior to the transactions contemplated by this Agreement have been duly authorized and validly issued and are fully paid and non-assessable; except as disclosed in the Registration Statement, the Pricing Disclosure Package and the Prospectus, the holders thereof have no contractual rights of rescission or the ability to require the Company to repurchase such securities, and are not subject to personal liability by reason of being such holders; and none of such securities were issued in violation of the preemptive rights, rights of first refusal or rights of participation of any holders of any security of the Company or similar contractual rights granted by the Company. The authorized shares of the Company’s capital stock conform in all material respects to all statements relating thereto contained in the Registration Statement, the Pricing Disclosure Package and the Prospectus. Prior to the date hereof, all offers and sales of the outstanding shares of capital stock, options, warrants and other rights to purchase or exchange such securities for shares of capital stock were at all relevant times either registered under the Securities Act and the applicable state securities or “blue sky” laws or based in part on the representations and warranties of the purchasers of such capital stock, exempt from such registration requirements. The description of the Company’s stock option, stock bonus and other stock plans or arrangements, and the options or other rights granted thereunder, as described in the Registration Statement, the Pricing Disclosure Package and the Prospectus, accurately and fairly present, in all material respects, the information required to be shown with respect to such plans, arrangements, options and rights.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2.10.2 </w:t>
      </w:r>
      <w:r>
        <w:rPr>
          <w:rFonts w:ascii="Times New Roman;Times;Serif" w:hAnsi="Times New Roman;Times;Serif"/>
          <w:b w:val="false"/>
          <w:i w:val="false"/>
          <w:caps w:val="false"/>
          <w:smallCaps w:val="false"/>
          <w:sz w:val="20"/>
          <w:u w:val="single"/>
        </w:rPr>
        <w:t>Securities Sold Pursuant to this Agreement</w:t>
      </w:r>
      <w:r>
        <w:rPr>
          <w:rFonts w:ascii="Times New Roman;Times;Serif" w:hAnsi="Times New Roman;Times;Serif"/>
          <w:b w:val="false"/>
          <w:i w:val="false"/>
          <w:caps w:val="false"/>
          <w:smallCaps w:val="false"/>
          <w:sz w:val="20"/>
        </w:rPr>
        <w:t>. The Public Securities have been duly authorized for issuance and sale and, when issued and paid for, will be validly issued, fully paid and non-assessable. The holders of the Public Securities will not be subject to personal liability by reason of being such holders. The Public Securities are not and will not be subject to the preemptive rights of any holders of any security of the Company or similar contractual rights granted by the Company, and all corporate action required to be taken for the authorization, issuance and sale of the Public Securities has been duly and validly taken. The Public Securities conform in all material respects to all statements with respect thereto contained in the Registration Statement, the Pricing Disclosure Package and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Registration Rights of Third Parties</w:t>
      </w:r>
      <w:r>
        <w:rPr>
          <w:rFonts w:ascii="Times New Roman;Times;Serif" w:hAnsi="Times New Roman;Times;Serif"/>
          <w:b w:val="false"/>
          <w:i w:val="false"/>
          <w:caps w:val="false"/>
          <w:smallCaps w:val="false"/>
          <w:sz w:val="20"/>
        </w:rPr>
        <w:t>. Except as set forth in the Registration Statement, the Pricing Disclosure Package and the Prospectus, no holders of any securities of the Company or any options, warrants, rights or other securities exercisable for or convertible or exchangeable into securities of the Company have the right to require the Company to register any such securities of the Company under the Securities Act or to include any such securities in the Registration Statement or any other registration statement to be filed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Validity and Binding Effect of Agreements</w:t>
      </w:r>
      <w:r>
        <w:rPr>
          <w:rFonts w:ascii="Times New Roman;Times;Serif" w:hAnsi="Times New Roman;Times;Serif"/>
          <w:b w:val="false"/>
          <w:i w:val="false"/>
          <w:caps w:val="false"/>
          <w:smallCaps w:val="false"/>
          <w:sz w:val="20"/>
        </w:rPr>
        <w:t>. This Agreement has been duly and validly authorized by the Company, and, when executed and delivered by the Company, will constitute, a legal, valid and binding agreement of the Company, enforceable against the Company in accordance with its terms, except in each case: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No Conflicts, etc</w:t>
      </w:r>
      <w:r>
        <w:rPr>
          <w:rFonts w:ascii="Times New Roman;Times;Serif" w:hAnsi="Times New Roman;Times;Serif"/>
          <w:b w:val="false"/>
          <w:i w:val="false"/>
          <w:caps w:val="false"/>
          <w:smallCaps w:val="false"/>
          <w:sz w:val="20"/>
        </w:rPr>
        <w:t>. The execution, delivery and performance by the Company of this Agreement and all other documents ancillary hereto, the consummation by the Company of the transactions herein and therein contemplated and the compliance by the Company with the terms hereof and thereof do not and will not, with or without the giving of notice or the lapse of time or both: (i) result in any violation of the provisions of the Memorandum of Association (as amended or restated from time to time, the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or the Articles of Association of the Company (the “</w:t>
      </w:r>
      <w:r>
        <w:rPr>
          <w:rFonts w:ascii="Times New Roman;Times;Serif" w:hAnsi="Times New Roman;Times;Serif"/>
          <w:b/>
          <w:i w:val="false"/>
          <w:caps w:val="false"/>
          <w:smallCaps w:val="false"/>
          <w:sz w:val="20"/>
        </w:rPr>
        <w:t>Articles of Association</w:t>
      </w:r>
      <w:r>
        <w:rPr>
          <w:rFonts w:ascii="Times New Roman;Times;Serif" w:hAnsi="Times New Roman;Times;Serif"/>
          <w:b w:val="false"/>
          <w:i w:val="false"/>
          <w:caps w:val="false"/>
          <w:smallCaps w:val="false"/>
          <w:sz w:val="20"/>
        </w:rPr>
        <w:t>”); (ii) result in a breach or violation of, or conflict with any of the terms and provisions of, or constitute a default under, or result in the creation, modification, termination or imposition of any lien, charge or encumbrance upon any property or assets of the Company pursuant to the terms of any indenture, mortgage, deed of trust, loan agreement or any other agreement or instrument to which the Company is a party or as to which any property of the Company is subject; or (iii) violate any applicable law, rule, regulation, judgment, order or decree of any governmental or regulatory agency, authority, body, entity or court, domestic or foreign, having jurisdiction over the Company or any of its assets or businesses (each, a “</w:t>
      </w:r>
      <w:r>
        <w:rPr>
          <w:rFonts w:ascii="Times New Roman;Times;Serif" w:hAnsi="Times New Roman;Times;Serif"/>
          <w:b/>
          <w:i w:val="false"/>
          <w:caps w:val="false"/>
          <w:smallCaps w:val="false"/>
          <w:sz w:val="20"/>
        </w:rPr>
        <w:t>Governmental Entity</w:t>
      </w:r>
      <w:r>
        <w:rPr>
          <w:rFonts w:ascii="Times New Roman;Times;Serif" w:hAnsi="Times New Roman;Times;Serif"/>
          <w:b w:val="false"/>
          <w:i w:val="false"/>
          <w:caps w:val="false"/>
          <w:smallCaps w:val="false"/>
          <w:sz w:val="20"/>
        </w:rPr>
        <w:t>”) as of the date hereof, except, in the case of clauses (ii) or (iii) of this Section 2.13, for those breaches, violations or conflicts which (individually or in the aggregate) would not have or reasonably be expected to result in a Material Adverse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No Defaults; Violations</w:t>
      </w:r>
      <w:r>
        <w:rPr>
          <w:rFonts w:ascii="Times New Roman;Times;Serif" w:hAnsi="Times New Roman;Times;Serif"/>
          <w:b w:val="false"/>
          <w:i w:val="false"/>
          <w:caps w:val="false"/>
          <w:smallCaps w:val="false"/>
          <w:sz w:val="20"/>
        </w:rPr>
        <w:t>. Except as set forth in the Registration Statement, the Pricing Disclosure Package and the Prospectus, no default exists in the due performance and observance of any term, covenant or condition of any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except, in each case, for those defaults which (individually or in the aggregate) would not have or reasonably be expected to result in a Material Adverse Change. The Company is not in violation of any franchise, license, permit, applicable law, rule, regulation, judgment, order or decree of any Governmental Entity, except, in each case, for those violations which (individually and in the aggregate) would not have or reasonably be expected to result in a Material Adverse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Corporate Power; Licenses;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2.15.1 Conduct of Business</w:t>
      </w:r>
      <w:r>
        <w:rPr>
          <w:rFonts w:ascii="Times New Roman;Times;Serif" w:hAnsi="Times New Roman;Times;Serif"/>
          <w:b w:val="false"/>
          <w:i w:val="false"/>
          <w:caps w:val="false"/>
          <w:smallCaps w:val="false"/>
          <w:sz w:val="20"/>
        </w:rPr>
        <w:t>. Except as described in the Registration Statement, the Pricing Disclosure Package and the Prospectus, the Company has all requisite corporate power and authority, and has all necessary consents, authorizations, approvals, licenses, certificates, clearances, permits and orders and supplements and amendments thereto (collectively, “</w:t>
      </w:r>
      <w:r>
        <w:rPr>
          <w:rFonts w:ascii="Times New Roman;Times;Serif" w:hAnsi="Times New Roman;Times;Serif"/>
          <w:b/>
          <w:i w:val="false"/>
          <w:caps w:val="false"/>
          <w:smallCaps w:val="false"/>
          <w:sz w:val="20"/>
        </w:rPr>
        <w:t>Authorizations</w:t>
      </w:r>
      <w:r>
        <w:rPr>
          <w:rFonts w:ascii="Times New Roman;Times;Serif" w:hAnsi="Times New Roman;Times;Serif"/>
          <w:b w:val="false"/>
          <w:i w:val="false"/>
          <w:caps w:val="false"/>
          <w:smallCaps w:val="false"/>
          <w:sz w:val="20"/>
        </w:rPr>
        <w:t>”) of and from all Governmental Entities required as of the date hereof for the Company to conduct its business as described in the Registration Statement, the Pricing Disclosure Package and the Prospectus, except, in each case, where the failure to have such Authorizations (individually or in the aggregate) would not have or reasonably be expected to result in a Material Adverse Change.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w:t>
        <w:tab/>
      </w:r>
      <w:r>
        <w:rPr>
          <w:rFonts w:ascii="Times New Roman;Times;Serif" w:hAnsi="Times New Roman;Times;Serif"/>
          <w:b w:val="false"/>
          <w:i w:val="false"/>
          <w:caps w:val="false"/>
          <w:smallCaps w:val="false"/>
          <w:sz w:val="20"/>
          <w:u w:val="single"/>
        </w:rPr>
        <w:t>Transactions Contemplated Herein</w:t>
      </w:r>
      <w:r>
        <w:rPr>
          <w:rFonts w:ascii="Times New Roman;Times;Serif" w:hAnsi="Times New Roman;Times;Serif"/>
          <w:b w:val="false"/>
          <w:i w:val="false"/>
          <w:caps w:val="false"/>
          <w:smallCaps w:val="false"/>
          <w:sz w:val="20"/>
        </w:rPr>
        <w:t>. The Company has all corporate power and authority to enter into this Agreement and to carry out the provisions and conditions hereof, and all Authorizations required in connection therewith have been obtained. No Authorization of, and no filing with, any Governmental Entity, the Exchange or another body is required for the valid issuance, sale and delivery of the Public Securities and the consummation of the transactions and agreements contemplated by this Agreement and as contemplated by the Registration Statement, the Pricing Disclosure Package and the Prospectus, except with respect to applicable federal and state securities or blue-sky laws, the rules of The Nasdaq Stock Market, LLC and the rules and regulations of the Exchange and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val="false"/>
          <w:i w:val="false"/>
          <w:caps w:val="false"/>
          <w:smallCaps w:val="false"/>
          <w:sz w:val="20"/>
          <w:u w:val="single"/>
        </w:rPr>
        <w:t>Questionnaires</w:t>
      </w:r>
      <w:r>
        <w:rPr>
          <w:rFonts w:ascii="Times New Roman;Times;Serif" w:hAnsi="Times New Roman;Times;Serif"/>
          <w:b w:val="false"/>
          <w:i w:val="false"/>
          <w:caps w:val="false"/>
          <w:smallCaps w:val="false"/>
          <w:sz w:val="20"/>
        </w:rPr>
        <w:t>. All information contained in the questionnaires (the “</w:t>
      </w:r>
      <w:r>
        <w:rPr>
          <w:rFonts w:ascii="Times New Roman;Times;Serif" w:hAnsi="Times New Roman;Times;Serif"/>
          <w:b/>
          <w:i w:val="false"/>
          <w:caps w:val="false"/>
          <w:smallCaps w:val="false"/>
          <w:sz w:val="20"/>
        </w:rPr>
        <w:t>Questionnaires</w:t>
      </w:r>
      <w:r>
        <w:rPr>
          <w:rFonts w:ascii="Times New Roman;Times;Serif" w:hAnsi="Times New Roman;Times;Serif"/>
          <w:b w:val="false"/>
          <w:i w:val="false"/>
          <w:caps w:val="false"/>
          <w:smallCaps w:val="false"/>
          <w:sz w:val="20"/>
        </w:rPr>
        <w:t>”) completed by each of the Company’s directors and officers named in the section “Management” in the Prospectus and parties set forth in as supplemented by all information concerning the Company’s directors, officers and holders of 10% or more of the Company’s capital stock set forth in the Registration Statement, the Pricing Disclosure Package and the Prospectus provided to the Underwriter and its counsel, is true, correct and complete and the Company has not become aware of any information which would cause the information disclosed in the Questionnaires to become inaccurate, incorrect or incomplete.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w:t>
      </w:r>
      <w:r>
        <w:rPr>
          <w:rFonts w:ascii="Times New Roman;Times;Serif" w:hAnsi="Times New Roman;Times;Serif"/>
          <w:b w:val="false"/>
          <w:i w:val="false"/>
          <w:caps w:val="false"/>
          <w:smallCaps w:val="false"/>
          <w:sz w:val="20"/>
          <w:u w:val="single"/>
        </w:rPr>
        <w:t>Litigation; Governmental Proceedings</w:t>
      </w:r>
      <w:r>
        <w:rPr>
          <w:rFonts w:ascii="Times New Roman;Times;Serif" w:hAnsi="Times New Roman;Times;Serif"/>
          <w:b w:val="false"/>
          <w:i w:val="false"/>
          <w:caps w:val="false"/>
          <w:smallCaps w:val="false"/>
          <w:sz w:val="20"/>
        </w:rPr>
        <w:t>. There is no action, suit, proceeding, inquiry, arbitration, investigation, litigation or governmental proceeding pending or, threatened, against, or involving the Company or any executive officer or director which has not been disclosed in the Registration Statement, the Pricing Disclosure Package and the Prospectus, or in connection with the Company’s listing application for the listing of the Public Securities on the Exchange, and is required to be disclosed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2.18 </w:t>
      </w:r>
      <w:r>
        <w:rPr>
          <w:rFonts w:ascii="Times New Roman;Times;Serif" w:hAnsi="Times New Roman;Times;Serif"/>
          <w:b w:val="false"/>
          <w:i w:val="false"/>
          <w:caps w:val="false"/>
          <w:smallCaps w:val="false"/>
          <w:sz w:val="20"/>
          <w:u w:val="single"/>
        </w:rPr>
        <w:t>Good Standing</w:t>
      </w:r>
      <w:r>
        <w:rPr>
          <w:rFonts w:ascii="Times New Roman;Times;Serif" w:hAnsi="Times New Roman;Times;Serif"/>
          <w:b w:val="false"/>
          <w:i w:val="false"/>
          <w:caps w:val="false"/>
          <w:smallCaps w:val="false"/>
          <w:sz w:val="20"/>
        </w:rPr>
        <w:t>. The Company has been duly incorporated and is validly existing as an exempt company with limited liability and is in good standing under the laws of the Cayman Islands as of the date hereof, and is duly qualified to do business and is in good standing in each other jurisdiction in which its ownership or lease of property or the conduct of business requires such qualification, except where the failure to be so qualified or in good standing, singularly or in the aggregate, would not have or reasonably be expected to result in a Material Adverse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On the Closing Date, the Company will carry or will be entitled to the benefits of insurance (including, without limitation, directors’ and officers’ insurance), with reputable insurers, in such amounts and covering such risks which the Company believes are adequate, and all such insurance is in full force and effect, except where the failure to maintain such insurance would not have or reasonably be expected to result in Material Adverse Change.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w:t>
      </w:r>
      <w:r>
        <w:rPr>
          <w:rFonts w:ascii="Times New Roman;Times;Serif" w:hAnsi="Times New Roman;Times;Serif"/>
          <w:b w:val="false"/>
          <w:i w:val="false"/>
          <w:caps w:val="false"/>
          <w:smallCaps w:val="false"/>
          <w:sz w:val="20"/>
          <w:u w:val="single"/>
        </w:rPr>
        <w:t>Transactions Affecting Disclosure to FINRA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2.20.1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Except as described in the Registration Statement, the Pricing Disclosure Package and the Prospectus, there are no claims, payments, arrangements, agreements or understandings relating to the payment of a finder’s, consulting or origination fee by the Company with respect to the sale of the Public Securities hereunder or any other arrangements, agreements or understandings of the Company or any of its stockholders that may affect the Underwriter’s compensation, as determined by FINRA.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2.20.2 </w:t>
      </w:r>
      <w:r>
        <w:rPr>
          <w:rFonts w:ascii="Times New Roman;Times;Serif" w:hAnsi="Times New Roman;Times;Serif"/>
          <w:b w:val="false"/>
          <w:i w:val="false"/>
          <w:caps w:val="false"/>
          <w:smallCaps w:val="false"/>
          <w:sz w:val="20"/>
          <w:u w:val="single"/>
        </w:rPr>
        <w:t>Payments Within Twelve (12) Months</w:t>
      </w:r>
      <w:r>
        <w:rPr>
          <w:rFonts w:ascii="Times New Roman;Times;Serif" w:hAnsi="Times New Roman;Times;Serif"/>
          <w:b w:val="false"/>
          <w:i w:val="false"/>
          <w:caps w:val="false"/>
          <w:smallCaps w:val="false"/>
          <w:sz w:val="20"/>
        </w:rPr>
        <w:t>. Except as disclosed in writing to the Underwriter or as described in the Registration Statement, the Pricing Disclosure Package and the Prospectus, the Company has not made any direct or indirect payments in connection with the Offering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Effective Date, other than the payment to the Underwriter as provided hereunder in connection with the Offering.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2.20.3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None of the net proceeds of the Offering will be paid by the Company to any participating FINRA member or its affiliates.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2.20.4 </w:t>
      </w:r>
      <w:r>
        <w:rPr>
          <w:rFonts w:ascii="Times New Roman;Times;Serif" w:hAnsi="Times New Roman;Times;Serif"/>
          <w:b w:val="false"/>
          <w:i w:val="false"/>
          <w:caps w:val="false"/>
          <w:smallCaps w:val="false"/>
          <w:sz w:val="20"/>
          <w:u w:val="single"/>
        </w:rPr>
        <w:t>FINRA Affiliation</w:t>
      </w:r>
      <w:r>
        <w:rPr>
          <w:rFonts w:ascii="Times New Roman;Times;Serif" w:hAnsi="Times New Roman;Times;Serif"/>
          <w:b w:val="false"/>
          <w:i w:val="false"/>
          <w:caps w:val="false"/>
          <w:smallCaps w:val="false"/>
          <w:sz w:val="20"/>
        </w:rPr>
        <w:t>. There is no (i) officer or director of the Company, (ii) beneficial owner of 10% or more of any class of the Company’s securities or (iii) beneficial owner of the Company’s unregistered equity securities, who acquired any equity securities of the Company during the 180-day period immediately preceding the filing of the Registration Statement that is an affiliate or associated person of a FINRA member participating in the Offering (as determined in accordance with the rules and regulations of FINRA).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2.20.5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All information provided by the Company in its FINRA questionnaire to Underwriter’s Counsel specifically for use by Underwriter’s Counsel in connection with its Public Offering System filings (and related disclosure) with FINRA is true, correct and complete in all material respects.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w:t>
      </w:r>
      <w:r>
        <w:rPr>
          <w:rFonts w:ascii="Times New Roman;Times;Serif" w:hAnsi="Times New Roman;Times;Serif"/>
          <w:b w:val="false"/>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None of the Company and its Subsidiaries or any director, officer, agent, employee or affiliate of the Company or any of its Subsidiaries or any other person acting on behalf of the Company or any of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Entity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Change or (iii) if not continued in the future, might adversely affect the assets, business, operations or prospects of the Company. The Company has taken reasonable steps to ensure that its accounting controls and procedures are sufficient to cause the Company to comply in all material respects with the Foreign Corrupt Practices Act of 1977,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w:t>
      </w:r>
      <w:r>
        <w:rPr>
          <w:rFonts w:ascii="Times New Roman;Times;Serif" w:hAnsi="Times New Roman;Times;Serif"/>
          <w:b w:val="false"/>
          <w:i w:val="false"/>
          <w:caps w:val="false"/>
          <w:smallCaps w:val="false"/>
          <w:sz w:val="20"/>
          <w:u w:val="single"/>
        </w:rPr>
        <w:t>Compliance with OFAC</w:t>
      </w:r>
      <w:r>
        <w:rPr>
          <w:rFonts w:ascii="Times New Roman;Times;Serif" w:hAnsi="Times New Roman;Times;Serif"/>
          <w:b w:val="false"/>
          <w:i w:val="false"/>
          <w:caps w:val="false"/>
          <w:smallCaps w:val="false"/>
          <w:sz w:val="20"/>
        </w:rPr>
        <w:t>. None of the Company and its Subsidiaries or any director, officer, agent, employee or affiliate of the Company and its Subsidiaries or any other person acting on behalf of the Company and its Subsidiaries, is currently subject to any U.S. sanctions administered by the Office of Foreign Assets Control of the U.S. Department of the Treasury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material compliance in all material respects with applicable financial recordkeeping and reporting requirements of the Currency and Foreign Transactions Reporting Act of 1970, as amended, including the money laundering Control Act of 1986, as amended, the rules and regulations thereunder and any related or similar money laundering statutes, rules, regulations or guidelines, issued, administered or enforced by any Governmental Entity (collectively,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No action, suit or proceeding by or before any Governmental Entity involving the Company with respect to Money Laundering Laws is pending or threatened, to the best knowledge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Any certificate signed by any duly authorized officer of the Company and delivered to the Underwriter or to Underwriter’s Counsel on the Closing Date shall be deemed a representation and warranty by the Company to the Underwriter as to the matters covered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hereto contains a complete and accurate list of the Company’s executive officers, directors and holders of 5% or more of the Company’s outstanding Common Stock(or securities convertible, exchangeable or exercisable into shares of Common Stock) (collectively, the “</w:t>
      </w:r>
      <w:r>
        <w:rPr>
          <w:rFonts w:ascii="Times New Roman;Times;Serif" w:hAnsi="Times New Roman;Times;Serif"/>
          <w:b/>
          <w:i w:val="false"/>
          <w:caps w:val="false"/>
          <w:smallCaps w:val="false"/>
          <w:sz w:val="20"/>
        </w:rPr>
        <w:t>Lock-Up Parties</w:t>
      </w:r>
      <w:r>
        <w:rPr>
          <w:rFonts w:ascii="Times New Roman;Times;Serif" w:hAnsi="Times New Roman;Times;Serif"/>
          <w:b w:val="false"/>
          <w:i w:val="false"/>
          <w:caps w:val="false"/>
          <w:smallCaps w:val="false"/>
          <w:sz w:val="20"/>
        </w:rPr>
        <w:t>”). The Company has caused each of the Lock-Up Parties to deliver to the Underwriter an executed Lock-Up Agreement,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prior to the execution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Each of the Company’s direct and indirect Subsidiaries is duly organized or incorporated as applicable and in good standing under the laws of its jurisdiction of organization or incorporation, and each such Subsidiary is in good standing in each jurisdiction in which its ownership or lease of property or the conduct of business requires such qualification, except where the failure to qualify would not have a Material Adverse Change on the assets, business or operations of the Company and its Subsidiaries taken as a whole. The Company’s ownership and control of each Subsidiary is as described in the Registration Statement, the Pricing Disclosure Package and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2.27.1 </w:t>
      </w:r>
      <w:r>
        <w:rPr>
          <w:rFonts w:ascii="Times New Roman;Times;Serif" w:hAnsi="Times New Roman;Times;Serif"/>
          <w:b w:val="false"/>
          <w:i w:val="false"/>
          <w:caps w:val="false"/>
          <w:smallCaps w:val="false"/>
          <w:sz w:val="20"/>
          <w:u w:val="single"/>
        </w:rPr>
        <w:t>Business Relationships</w:t>
      </w:r>
      <w:r>
        <w:rPr>
          <w:rFonts w:ascii="Times New Roman;Times;Serif" w:hAnsi="Times New Roman;Times;Serif"/>
          <w:b w:val="false"/>
          <w:i w:val="false"/>
          <w:caps w:val="false"/>
          <w:smallCaps w:val="false"/>
          <w:sz w:val="20"/>
        </w:rPr>
        <w:t>. There are no business relationships or related party transactions involving the Company or any other person required to be described in the Registration Statement, the Pricing Disclosure Package and the Prospectus that have not been described as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of Directors of the Company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is comprised of the persons set forth under the heading of the Pricing Prospectus and the Prospectus captioned “Management.” The qualifications of the persons serving as Board members and the overall composition of the Board comply with the Exchange Act, the Exchange Act Regulations, the Sarbanes-Oxley Act of 2002 and the rules promulgated thereunder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applicable to the Company and the listing rules of the Exchange. At least one member of the Audit Committee of the Board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qualifies as an “audit committee financial expert,” as such term is defined under Regulation S-K and the listing rules of the Exchange. In addition, at least a majority of the persons serving on the Board qualify as “independent,” as defined under the listing rules of the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2.29 </w:t>
      </w:r>
      <w:r>
        <w:rPr>
          <w:rFonts w:ascii="Times New Roman;Times;Serif" w:hAnsi="Times New Roman;Times;Serif"/>
          <w:b w:val="false"/>
          <w:i w:val="false"/>
          <w:caps w:val="false"/>
          <w:smallCaps w:val="false"/>
          <w:sz w:val="20"/>
          <w:u w:val="single"/>
        </w:rPr>
        <w:t>Sarbanes-Oxley Compliance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2.29.1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The Company has developed disclosure controls and procedures that will comply in all material respects with Rule 13a-15 or 15d-15 under the Exchange Act Regulations, and such controls and procedures will be effective to ensure that all material information concerning the Company will be made known on a timely basis to the individuals responsible for the preparation of the Company’s Exchange Act filings and other public disclosure documents.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2.29.2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The Company is, and, at the Applicable Time and on the Closing Date, will be in material compliance with the provisions of the Sarbanes-Oxley Act applicable to it, and has implemented or will implement such programs and has taken reasonable steps to ensure the Company’s future compliance (not later than the relevant statutory and regulatory deadlines therefor) with all of the material provisions of the Sarbanes-Oxley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2.30 </w:t>
      </w:r>
      <w:r>
        <w:rPr>
          <w:rFonts w:ascii="Times New Roman;Times;Serif" w:hAnsi="Times New Roman;Times;Serif"/>
          <w:b w:val="false"/>
          <w:i w:val="false"/>
          <w:caps w:val="false"/>
          <w:smallCaps w:val="false"/>
          <w:sz w:val="20"/>
          <w:u w:val="single"/>
        </w:rPr>
        <w:t>Accounting Controls</w:t>
      </w:r>
      <w:r>
        <w:rPr>
          <w:rFonts w:ascii="Times New Roman;Times;Serif" w:hAnsi="Times New Roman;Times;Serif"/>
          <w:b w:val="false"/>
          <w:i w:val="false"/>
          <w:caps w:val="false"/>
          <w:smallCaps w:val="false"/>
          <w:sz w:val="20"/>
        </w:rPr>
        <w:t>. The Company and its Subsidiaries are in the process of establishing systems of “internal control over financial reporting” (as defined under Rules 13a-15 and 15d-15 under the Exchange Act Regulations) that will comply in all material respects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 is not aware of any material weaknesses in its internal controls. The Company’s auditors and the Audit Committee have been advised of: (i) all significant deficiencies and material weaknesses in the design or operation of internal controls over financial reporting which are known to the Company’s management and that have adversely affected or are reasonably likely to adversely affect the Company’s ability to record, process, summarize and report financial information; and (ii) any fraud known to the Company’s management, whether or not material, that involves management or other employees who have a significant role in the Company’s internal controls over financial reporting.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w:t>
      </w:r>
      <w:r>
        <w:rPr>
          <w:rFonts w:ascii="Times New Roman;Times;Serif" w:hAnsi="Times New Roman;Times;Serif"/>
          <w:b w:val="false"/>
          <w:i w:val="false"/>
          <w:caps w:val="false"/>
          <w:smallCaps w:val="false"/>
          <w:sz w:val="20"/>
          <w:u w:val="single"/>
        </w:rPr>
        <w:t>No Investment Company Status</w:t>
      </w:r>
      <w:r>
        <w:rPr>
          <w:rFonts w:ascii="Times New Roman;Times;Serif" w:hAnsi="Times New Roman;Times;Serif"/>
          <w:b w:val="false"/>
          <w:i w:val="false"/>
          <w:caps w:val="false"/>
          <w:smallCaps w:val="false"/>
          <w:sz w:val="20"/>
        </w:rPr>
        <w:t>. The Company is not and, after giving effect to the Offering and the application of the net proceeds thereof as described in the Registration Statement, the Pricing Disclosure Package and the Prospectus, will not be, required to register as an “investment company,” as defined in the Investment Company Act of 1940,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2.32 </w:t>
      </w:r>
      <w:r>
        <w:rPr>
          <w:rFonts w:ascii="Times New Roman;Times;Serif" w:hAnsi="Times New Roman;Times;Serif"/>
          <w:b w:val="false"/>
          <w:i w:val="false"/>
          <w:caps w:val="false"/>
          <w:smallCaps w:val="false"/>
          <w:sz w:val="20"/>
          <w:u w:val="single"/>
        </w:rPr>
        <w:t>No Labor Disputes</w:t>
      </w:r>
      <w:r>
        <w:rPr>
          <w:rFonts w:ascii="Times New Roman;Times;Serif" w:hAnsi="Times New Roman;Times;Serif"/>
          <w:b w:val="false"/>
          <w:i w:val="false"/>
          <w:caps w:val="false"/>
          <w:smallCaps w:val="false"/>
          <w:sz w:val="20"/>
        </w:rPr>
        <w:t>. No labor dispute with the employees of the Company or any of its Subsidiaries exists or, to the best knowledge of the Company, is threatened. The Company is not aware that any key employee or significant group of employees of the Company plans to terminate employment with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The Company and each of its Subsidiaries owns or possesses or has valid rights to use all material patents, patent applications, trademarks, service marks, trade names, trademark registrations, service mark registrations, copyrights, licenses, inventions, trade secrets and similar rights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described in the Registration Statement, the Pricing Disclosure Package and the Prospectus and necessary for the conduct of the business of the Company and each of its Subsidiaries as currently carried on and as described in the Registration Statement, the Pricing Disclosure Package and the Prospectus. Except as may be disclosed in the Registration Statement, the Pricing Disclosure Package and the Prospectus, no action or use by the Company or any of its Subsidiaries necessary for the conduct of its business as currently carried on and as described in the Registration Statement and the Prospectus will involve or give rise to any infringement of, or license or similar fees for, any Intellectual Property Rights of others. Except as may be disclosed in the Registration Statement, the Pricing Disclosure Package and the Prospectus, neither the Company nor any of its Subsidiaries has received any notice alleging any such infringement, fee or conflict with asserted Intellectual Property Rights of others. Except as would not reasonably be expected to result, individually or in the aggregate, in a Material Adverse Change, (i) there is no infringement, misappropriation or violation by third parties of any of the Intellectual Property Rights owned by the Company; (ii) there is no pending or threatened action, suit,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(iii) the Intellectual Property Rights owned by the Company and the Intellectual Property Rights licensed to the Company have not been adjudged by a court of competent jurisdiction invalid or unenforceable, in whole or in part, and there is no pending or threatened action, suit, proceeding or claim by other parties challenging the validity or scope of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(iv) there is no pending or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referred to in this Section 2.33, reasonably be expected to result in a Material Adverse Change; and (v) no employee of the Company is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To the Company’s Knowledge (as defined below), the Company is not a party to or bound by any options, licenses or agreements with respect to the Intellectual Property Rights of any other person or entity that are required to be set forth in the Registration Statement, the Pricing Disclosure Package and the Prospectus and are not described therein. None of the technology employed by the Company has been obtained or is knowingly being used by the Company in violation of any contractual obligation binding on the Company or any of its officers, directors or employees, or otherwise in violation of the rights of any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the actual knowledge of the Company’s executive officers and members of the Company’s Board of Directors, and the knowledge that each such person would have reasonably obtained in the performance of each such person's duties as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Change, each of the Company and its Subsidiaries has: (i) filed all returns (as defined below) required to be filed with taxing authorities prior to the date hereof or has duly obtained extensions of time for the filing thereof; and (ii) paid all taxes shown as due on such returns that were filed and has paid all taxes imposed on or assessed against the Company or any of its Subsidiaries.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Except as disclosed in writing to the Underwriter, (i) no issues have been raised (and are currently pending) by any tax authority in connection with any of the returns or taxes asserted as due from the Company or its Subsidiaries, and (ii) no waivers of statutes of limitation with respect to the returns or collection of taxes have been given by or requested from the Company or its Subsidiaries. There are no tax liens against the assets, properties or business of the Company or its Subsidiaries other than liens for taxes not yet delinquent or being contested in good faith by appropriate proceedings and for which reserves in accordance with GAAP have been established in the Company’s books and records. The term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Times New Roman;Times;Serif" w:hAnsi="Times New Roman;Times;Serif"/>
          <w:b/>
          <w:i w:val="false"/>
          <w:caps w:val="false"/>
          <w:smallCaps w:val="false"/>
          <w:sz w:val="20"/>
        </w:rPr>
        <w:t>returns</w:t>
      </w:r>
      <w:r>
        <w:rPr>
          <w:rFonts w:ascii="Times New Roman;Times;Serif" w:hAnsi="Times New Roman;Times;Serif"/>
          <w:b w:val="false"/>
          <w:i w:val="false"/>
          <w:caps w:val="false"/>
          <w:smallCaps w:val="false"/>
          <w:sz w:val="20"/>
        </w:rPr>
        <w:t>” means all returns, declarations, reports, statements and other documents required to be filed in respect to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2.35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Except as may be disclosed in the Registration Statement, the Pricing Disclosure Package and the Prospectus, each of the Company and each Subsidiary: (i) is and at all times has been in compliance with all statutes, rules, or regulations applicable to the business of the Company as currently conducted (“</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except as could not, individually or in the aggregate, reasonably be expected to have a Material Adverse Change; (ii) has not received any warning letter or other correspondence or notice from any governmental Entity alleging or asserting noncompliance with any Applicable Laws or any Authorizations i; (iii) possesses all material Authorizations and to Company’s the Knowledge, such Authorizations are valid and in full force and effect and are not in material violation of any term of any such Authorizations; (iv) has not received notice of any claim, action, suit, proceeding, hearing, enforcement, investigation, arbitration or other action from any Governmental Entity or third party alleging that any activity conducted by the Company is in violation of any Applicable Laws or Authorizations and no such Governmental Entity or third party is considering any such claim, litigation, arbitration, action, suit, investigation or proceeding; (v) has not received notice that any Governmental Entity has taken, is taking or intends to take action to limit, suspend, modify or revoke any Authorizations and no such Governmental Entity is considering such action; and (vi)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2.36. </w:t>
      </w:r>
      <w:r>
        <w:rPr>
          <w:rFonts w:ascii="Times New Roman;Times;Serif" w:hAnsi="Times New Roman;Times;Serif"/>
          <w:b w:val="false"/>
          <w:i w:val="false"/>
          <w:caps w:val="false"/>
          <w:smallCaps w:val="false"/>
          <w:sz w:val="20"/>
          <w:u w:val="single"/>
        </w:rPr>
        <w:t>Emerging Growth Company</w:t>
      </w:r>
      <w:r>
        <w:rPr>
          <w:rFonts w:ascii="Times New Roman;Times;Serif" w:hAnsi="Times New Roman;Times;Serif"/>
          <w:b w:val="false"/>
          <w:i w:val="false"/>
          <w:caps w:val="false"/>
          <w:smallCaps w:val="false"/>
          <w:sz w:val="20"/>
        </w:rPr>
        <w:t>. From the time of the initial submission of the Registration Statement to the Commission through the date hereof, the Company has been and is an “emerging growth company,” as defined in Section 2(a) of the Securities Act (an “</w:t>
      </w:r>
      <w:r>
        <w:rPr>
          <w:rFonts w:ascii="Times New Roman;Times;Serif" w:hAnsi="Times New Roman;Times;Serif"/>
          <w:b/>
          <w:i w:val="false"/>
          <w:caps w:val="false"/>
          <w:smallCaps w:val="false"/>
          <w:sz w:val="20"/>
        </w:rPr>
        <w:t>Emerging Growth Company</w:t>
      </w:r>
      <w:r>
        <w:rPr>
          <w:rFonts w:ascii="Times New Roman;Times;Serif" w:hAnsi="Times New Roman;Times;Serif"/>
          <w:b w:val="false"/>
          <w:i w:val="false"/>
          <w:caps w:val="false"/>
          <w:smallCaps w:val="false"/>
          <w:sz w:val="20"/>
        </w:rPr>
        <w:t>”). The Company has not (i) alone engaged in any Testing-the-Waters Communications, other than Testing-the-Waters Communications with the written consent of the Underwriter and with entities that are qualified institutional buyers within the meaning of Rule 144A under the Securities Act or institutions that are accredited investors within the meaning of Rule 501 under the Securities Act and (ii) authorized anyone other than the Underwriter to engage in Testing-the-Waters Communications. The Company confirms that the Underwriter has been authorized to act on its behalf in undertaking Testing-the-Waters Communications. “</w:t>
      </w:r>
      <w:r>
        <w:rPr>
          <w:rFonts w:ascii="Times New Roman;Times;Serif" w:hAnsi="Times New Roman;Times;Serif"/>
          <w:b/>
          <w:i w:val="false"/>
          <w:caps w:val="false"/>
          <w:smallCaps w:val="false"/>
          <w:sz w:val="20"/>
        </w:rPr>
        <w:t>Testing-the-Waters Communication</w:t>
      </w:r>
      <w:r>
        <w:rPr>
          <w:rFonts w:ascii="Times New Roman;Times;Serif" w:hAnsi="Times New Roman;Times;Serif"/>
          <w:b w:val="false"/>
          <w:i w:val="false"/>
          <w:caps w:val="false"/>
          <w:smallCaps w:val="false"/>
          <w:sz w:val="20"/>
        </w:rPr>
        <w:t>” means any oral or written communication with potential investors undertaken in reliance on Section 5(d)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2.37 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is in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except where the failure to comply would not, singularly or in the aggregate, result in a Material Adverse Change. There has been no storage, generation, transportation, handling, treatment, disposal, discharge, emission, or other release of any kind of toxic or other wastes or other hazardous substances by, due to, or caused by the Company (or any other entity for whose acts or omissions the Company is or may otherwise be liable) upon any of the property now or previously owned or leased by the Company, in violation of any law, statute, ordinance, rule, regulation, order, judgment, decree or permit or which would, under any law, statute, ordinance, rule (including rule of common law), regulation, order, judgment, decree or permit, give rise to any liability, except for any violation or liability which would not have, singularly or in the aggregate with all such violations and liabilities, a Material Adverse Change; and there has been no disposal, discharge, emission or other release of any kind onto such property or into the environment surrounding such property of any toxic or other wastes or other hazardous substances, except for any such disposal, discharge, emission, or other release of any kind which would not have, singularly or in the aggregate with all such discharges and other releases, a Material Adverse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Except as set forth in the Registration Statement, the Pricing Disclosure Package and the Prospectus, the Company and its Subsidiaries have good and marketable title in fee simple to, or have valid rights to lease or otherwise use, all items of real or personal property which are material to the business of the Company and its Subsidiaries taken as a whole, in each case free and clear of all liens, encumbrances, security interests, claims and defects that do not, singly or in the aggregate, materially affect the value of such property in any material respect and do not materially interfere with the use made and proposed to be made of such property by the Company or its Subsidiaries; and all of the leases and subleases material to the business of the Company and its Subsidiaries, considered as one enterprise, and under which the Company or any of its Subsidiaries holds properties described in the Registration Statement, the Pricing Disclosure Package and the Prospectus, are in full force and effect, and neither the Company nor any Subsidiary has received any notice of any material claim of any sort that has been asserted by anyone adverse to the rights of the Company or any Subsidiary under any of the leases or subleases mentioned above, or affecting or questioning the rights of the Company or any Subsidiary to the continued possession of the leased or subleased premises under any such lease or sublease, which would, singularly or in the aggregate, result in a Material Adverse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2.39 </w:t>
      </w:r>
      <w:r>
        <w:rPr>
          <w:rFonts w:ascii="Times New Roman;Times;Serif" w:hAnsi="Times New Roman;Times;Serif"/>
          <w:b w:val="false"/>
          <w:i w:val="false"/>
          <w:caps w:val="false"/>
          <w:smallCaps w:val="false"/>
          <w:sz w:val="20"/>
          <w:u w:val="single"/>
        </w:rPr>
        <w:t>Contracts Affecting Capital</w:t>
      </w:r>
      <w:r>
        <w:rPr>
          <w:rFonts w:ascii="Times New Roman;Times;Serif" w:hAnsi="Times New Roman;Times;Serif"/>
          <w:b w:val="false"/>
          <w:i w:val="false"/>
          <w:caps w:val="false"/>
          <w:smallCaps w:val="false"/>
          <w:sz w:val="20"/>
        </w:rPr>
        <w:t>. There are no transactions, arrangements or other relationships between and/or among the Company, any of its affiliates (as such term is defined in Rule 405 under the Securities Act) and any unconsolidated entity, including, but not limited to, any structured finance, special purpose or limited purpose entity that could reasonably be expected to materially affect the Company’s or its Subsidiaries’ liquidity or the availability of or requirements for their capital resources required to be described or incorporated by reference in the Registration Statement, the Pricing Disclosure Package and the Prospectus which have not been described or incorporated by reference as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2.40. </w:t>
      </w:r>
      <w:r>
        <w:rPr>
          <w:rFonts w:ascii="Times New Roman;Times;Serif" w:hAnsi="Times New Roman;Times;Serif"/>
          <w:b w:val="false"/>
          <w:i w:val="false"/>
          <w:caps w:val="false"/>
          <w:smallCaps w:val="false"/>
          <w:sz w:val="20"/>
          <w:u w:val="single"/>
        </w:rPr>
        <w:t>Loans to Directors or Officers</w:t>
      </w:r>
      <w:r>
        <w:rPr>
          <w:rFonts w:ascii="Times New Roman;Times;Serif" w:hAnsi="Times New Roman;Times;Serif"/>
          <w:b w:val="false"/>
          <w:i w:val="false"/>
          <w:caps w:val="false"/>
          <w:smallCaps w:val="false"/>
          <w:sz w:val="20"/>
        </w:rPr>
        <w:t>. There are no outstanding loans, advances (except normal advances for business expenses in the ordinary course of business) or guarantees or indebtedness by the Company or its Subsidiaries to or for the benefit of any of the officers or directors of the Company, its Subsidiaries, or any of their respective family members, except as disclosed in the Registration Statement, the Pricing Disclosure Package and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2.41. </w:t>
      </w:r>
      <w:r>
        <w:rPr>
          <w:rFonts w:ascii="Times New Roman;Times;Serif" w:hAnsi="Times New Roman;Times;Serif"/>
          <w:b w:val="false"/>
          <w:i w:val="false"/>
          <w:caps w:val="false"/>
          <w:smallCaps w:val="false"/>
          <w:sz w:val="20"/>
          <w:u w:val="single"/>
        </w:rPr>
        <w:t>Ineligible Issuer</w:t>
      </w:r>
      <w:r>
        <w:rPr>
          <w:rFonts w:ascii="Times New Roman;Times;Serif" w:hAnsi="Times New Roman;Times;Serif"/>
          <w:b w:val="false"/>
          <w:i w:val="false"/>
          <w:caps w:val="false"/>
          <w:smallCaps w:val="false"/>
          <w:sz w:val="20"/>
        </w:rPr>
        <w:t xml:space="preserve">. At the time of filing the Registration Statement and any post-effective amendment thereto, at the Effective Date and at the time of any amendment thereto, at the earliest time thereafter that the Company or the Underwriter made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 (within the meaning of Rule 164(h)(2) under the Securities Act) of the Public Securities and at the Effective Date, the Company was not and is not an “ineligible issuer,” as defined in Rule 405 under the Securities Act, without taking account of any determination by the Commission pursuant to Rule 405 that it is not necessary that the Company be considered an ineligible issuer.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w:t>
      </w:r>
      <w:r>
        <w:rPr>
          <w:rFonts w:ascii="Times New Roman;Times;Serif" w:hAnsi="Times New Roman;Times;Serif"/>
          <w:b w:val="false"/>
          <w:i w:val="false"/>
          <w:caps w:val="false"/>
          <w:smallCaps w:val="false"/>
          <w:sz w:val="20"/>
          <w:u w:val="single"/>
        </w:rPr>
        <w:t>Smaller Reporting Company</w:t>
      </w:r>
      <w:r>
        <w:rPr>
          <w:rFonts w:ascii="Times New Roman;Times;Serif" w:hAnsi="Times New Roman;Times;Serif"/>
          <w:b w:val="false"/>
          <w:i w:val="false"/>
          <w:caps w:val="false"/>
          <w:smallCaps w:val="false"/>
          <w:sz w:val="20"/>
        </w:rPr>
        <w:t>. As of the time of filing of the Registration Statement, the Company was a “smaller reporting company,” as defined in Rule 12b-2 of the Exchange Act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2.43. </w:t>
      </w:r>
      <w:r>
        <w:rPr>
          <w:rFonts w:ascii="Times New Roman;Times;Serif" w:hAnsi="Times New Roman;Times;Serif"/>
          <w:b w:val="false"/>
          <w:i w:val="false"/>
          <w:caps w:val="false"/>
          <w:smallCaps w:val="false"/>
          <w:sz w:val="20"/>
          <w:u w:val="single"/>
        </w:rPr>
        <w:t>Industry Data</w:t>
      </w:r>
      <w:r>
        <w:rPr>
          <w:rFonts w:ascii="Times New Roman;Times;Serif" w:hAnsi="Times New Roman;Times;Serif"/>
          <w:b w:val="false"/>
          <w:i w:val="false"/>
          <w:caps w:val="false"/>
          <w:smallCaps w:val="false"/>
          <w:sz w:val="20"/>
        </w:rPr>
        <w:t>. The statistical and market-related data included in each of the Registration Statement, the Pricing Disclosure Package and the Prospectus are based on or derived from sources that the Company reasonably and in good faith believes are reliable and accurate or represent the Company’s good faith estimates that are made on the basis of data derived from such sources.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2.44. </w:t>
      </w:r>
      <w:r>
        <w:rPr>
          <w:rFonts w:ascii="Times New Roman;Times;Serif" w:hAnsi="Times New Roman;Times;Serif"/>
          <w:b w:val="false"/>
          <w:i w:val="false"/>
          <w:caps w:val="false"/>
          <w:smallCaps w:val="false"/>
          <w:sz w:val="20"/>
          <w:u w:val="single"/>
        </w:rPr>
        <w:t>Electronic Road Show</w:t>
      </w:r>
      <w:r>
        <w:rPr>
          <w:rFonts w:ascii="Times New Roman;Times;Serif" w:hAnsi="Times New Roman;Times;Serif"/>
          <w:b w:val="false"/>
          <w:i w:val="false"/>
          <w:caps w:val="false"/>
          <w:smallCaps w:val="false"/>
          <w:sz w:val="20"/>
        </w:rPr>
        <w:t>. The Company has made available a Bona Fide Electronic Road Show in compliance with Rule 433(d)(8)(ii) of the Securities Act Regulations such that no filing of any “road show” (as defined in Rule 433(h) of the Securities Act Regulations) is required in connection with the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2.45. </w:t>
      </w:r>
      <w:r>
        <w:rPr>
          <w:rFonts w:ascii="Times New Roman;Times;Serif" w:hAnsi="Times New Roman;Times;Serif"/>
          <w:b w:val="false"/>
          <w:i w:val="false"/>
          <w:caps w:val="false"/>
          <w:smallCaps w:val="false"/>
          <w:sz w:val="20"/>
          <w:u w:val="single"/>
        </w:rPr>
        <w:t>Margin Securities</w:t>
      </w:r>
      <w:r>
        <w:rPr>
          <w:rFonts w:ascii="Times New Roman;Times;Serif" w:hAnsi="Times New Roman;Times;Serif"/>
          <w:b w:val="false"/>
          <w:i w:val="false"/>
          <w:caps w:val="false"/>
          <w:smallCaps w:val="false"/>
          <w:sz w:val="20"/>
        </w:rPr>
        <w:t>. The Company owns no “margin securities” as such term is defined in Regulation U of the Board of Governors of the Federal Reserve System (the “</w:t>
      </w:r>
      <w:r>
        <w:rPr>
          <w:rFonts w:ascii="Times New Roman;Times;Serif" w:hAnsi="Times New Roman;Times;Serif"/>
          <w:b/>
          <w:i w:val="false"/>
          <w:caps w:val="false"/>
          <w:smallCaps w:val="false"/>
          <w:sz w:val="20"/>
        </w:rPr>
        <w:t>Federal Reserve Board</w:t>
      </w:r>
      <w:r>
        <w:rPr>
          <w:rFonts w:ascii="Times New Roman;Times;Serif" w:hAnsi="Times New Roman;Times;Serif"/>
          <w:b w:val="false"/>
          <w:i w:val="false"/>
          <w:caps w:val="false"/>
          <w:smallCaps w:val="false"/>
          <w:sz w:val="20"/>
        </w:rPr>
        <w:t>”), and none of the proceeds of Offering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shares of Common Stock to be considered a “purpose credit” within the meanings of Regulation T, U or X of the Federal Reserve Board.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2.46. </w:t>
      </w:r>
      <w:r>
        <w:rPr>
          <w:rFonts w:ascii="Times New Roman;Times;Serif" w:hAnsi="Times New Roman;Times;Serif"/>
          <w:b w:val="false"/>
          <w:i w:val="false"/>
          <w:caps w:val="false"/>
          <w:smallCaps w:val="false"/>
          <w:sz w:val="20"/>
          <w:u w:val="single"/>
        </w:rPr>
        <w:t>Dividends and Distributions</w:t>
      </w:r>
      <w:r>
        <w:rPr>
          <w:rFonts w:ascii="Times New Roman;Times;Serif" w:hAnsi="Times New Roman;Times;Serif"/>
          <w:b w:val="false"/>
          <w:i w:val="false"/>
          <w:caps w:val="false"/>
          <w:smallCaps w:val="false"/>
          <w:sz w:val="20"/>
        </w:rPr>
        <w:t>. Except as disclosed in the Pricing Disclosure Package, Registration Statement and the Prospectus, no Subsidiary of the Company is currently prohibited or restricted,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the Offering to be integrated with prior offerings by the Company for purposes of the Securities Act that would require the registration of any such securities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2.49. </w:t>
      </w:r>
      <w:r>
        <w:rPr>
          <w:rFonts w:ascii="Times New Roman;Times;Serif" w:hAnsi="Times New Roman;Times;Serif"/>
          <w:b w:val="false"/>
          <w:i w:val="false"/>
          <w:caps w:val="false"/>
          <w:smallCaps w:val="false"/>
          <w:sz w:val="20"/>
          <w:u w:val="single"/>
        </w:rPr>
        <w:t>Confidentiality and Non-Competition</w:t>
      </w:r>
      <w:r>
        <w:rPr>
          <w:rFonts w:ascii="Times New Roman;Times;Serif" w:hAnsi="Times New Roman;Times;Serif"/>
          <w:b w:val="false"/>
          <w:i w:val="false"/>
          <w:caps w:val="false"/>
          <w:smallCaps w:val="false"/>
          <w:sz w:val="20"/>
        </w:rPr>
        <w:t>. To the Company’s Knowledge, no director or executive officer of the Company or any Subsidiary is subject to any confidentiality, non-disclosure, non-competition agreement or non-solicitation agreement with any employer (other than the Company or its Subsidiary, as applicable) or prior employer that could materially affect his or her ability to be and act in his or her respective capacity of the Company or such Subsidiary or reasonably be expected to result in a Material Adverse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w:t>
      </w:r>
      <w:r>
        <w:rPr>
          <w:rFonts w:ascii="Times New Roman;Times;Serif" w:hAnsi="Times New Roman;Times;Serif"/>
          <w:b w:val="false"/>
          <w:i w:val="false"/>
          <w:caps w:val="false"/>
          <w:smallCaps w:val="false"/>
          <w:sz w:val="20"/>
          <w:u w:val="single"/>
        </w:rPr>
        <w:t>Corporate Records</w:t>
      </w:r>
      <w:r>
        <w:rPr>
          <w:rFonts w:ascii="Times New Roman;Times;Serif" w:hAnsi="Times New Roman;Times;Serif"/>
          <w:b w:val="false"/>
          <w:i w:val="false"/>
          <w:caps w:val="false"/>
          <w:smallCaps w:val="false"/>
          <w:sz w:val="20"/>
        </w:rPr>
        <w:t>. The minute books of the Company have been made available to the Underwriter and Underwriter’s Counsel and such books (i) contain minutes of all material meetings and actions of the Board and stockholders of the Company, and (ii) reflect all material transactions referred to in such minutes.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2.51. </w:t>
      </w:r>
      <w:r>
        <w:rPr>
          <w:rFonts w:ascii="Times New Roman;Times;Serif" w:hAnsi="Times New Roman;Times;Serif"/>
          <w:b w:val="false"/>
          <w:i w:val="false"/>
          <w:caps w:val="false"/>
          <w:smallCaps w:val="false"/>
          <w:sz w:val="20"/>
          <w:u w:val="single"/>
        </w:rPr>
        <w:t>Diligence Materials</w:t>
      </w:r>
      <w:r>
        <w:rPr>
          <w:rFonts w:ascii="Times New Roman;Times;Serif" w:hAnsi="Times New Roman;Times;Serif"/>
          <w:b w:val="false"/>
          <w:i w:val="false"/>
          <w:caps w:val="false"/>
          <w:smallCaps w:val="false"/>
          <w:sz w:val="20"/>
        </w:rPr>
        <w:t>. The Company has provided to the Underwriter and Underwriter’s Counsel all materials reasonably required or necessary to respond in all material respects to the diligence request submitted to the Company or Underwriter’s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2.52. </w:t>
      </w:r>
      <w:r>
        <w:rPr>
          <w:rFonts w:ascii="Times New Roman;Times;Serif" w:hAnsi="Times New Roman;Times;Serif"/>
          <w:b w:val="false"/>
          <w:i w:val="false"/>
          <w:caps w:val="false"/>
          <w:smallCaps w:val="false"/>
          <w:sz w:val="20"/>
          <w:u w:val="single"/>
        </w:rPr>
        <w:t>Stabilization</w:t>
      </w:r>
      <w:r>
        <w:rPr>
          <w:rFonts w:ascii="Times New Roman;Times;Serif" w:hAnsi="Times New Roman;Times;Serif"/>
          <w:b w:val="false"/>
          <w:i w:val="false"/>
          <w:caps w:val="false"/>
          <w:smallCaps w:val="false"/>
          <w:sz w:val="20"/>
        </w:rPr>
        <w:t>. Neither the Company nor any of its employees, directors or stockholders (without the consent of the Underwriter) has taken,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w:t>
      </w:r>
    </w:p>
    <w:p>
      <w:pPr>
        <w:pStyle w:val="TextBody"/>
        <w:bidi w:val="0"/>
        <w:spacing w:before="0" w:after="0"/>
        <w:ind w:left="440" w:right="0" w:hanging="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7"/>
        <w:gridCol w:w="9333"/>
      </w:tblGrid>
      <w:tr>
        <w:trPr/>
        <w:tc>
          <w:tcPr>
            <w:tcW w:w="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3.</w:t>
            </w:r>
          </w:p>
        </w:tc>
        <w:tc>
          <w:tcPr>
            <w:tcW w:w="9333" w:type="dxa"/>
            <w:tcBorders/>
            <w:vAlign w:val="center"/>
          </w:tcPr>
          <w:p>
            <w:pPr>
              <w:pStyle w:val="TableContents"/>
              <w:bidi w:val="0"/>
              <w:spacing w:before="0" w:after="283"/>
              <w:jc w:val="left"/>
              <w:rPr/>
            </w:pPr>
            <w:r>
              <w:rPr>
                <w:u w:val="single"/>
              </w:rPr>
              <w:t>Covenants of the Company</w:t>
            </w:r>
            <w:r>
              <w:rPr/>
              <w:t>. The Company covenants and agrees as follows: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Amendments to Registration Statement</w:t>
      </w:r>
      <w:r>
        <w:rPr>
          <w:rFonts w:ascii="Times New Roman;Times;Serif" w:hAnsi="Times New Roman;Times;Serif"/>
          <w:b w:val="false"/>
          <w:i w:val="false"/>
          <w:caps w:val="false"/>
          <w:smallCaps w:val="false"/>
          <w:sz w:val="20"/>
        </w:rPr>
        <w:t>. The Company shall deliver to the Underwriter, prior to filing, any amendment or supplement to the Registration Statement or Prospectus proposed to be filed after the Effective Date and not file any such amendment or supplement to which the Underwriter shall reasonably object in writing.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Federal Securities Laws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(a) </w:t>
      </w:r>
      <w:r>
        <w:rPr>
          <w:rFonts w:ascii="Times New Roman;Times;Serif" w:hAnsi="Times New Roman;Times;Serif"/>
          <w:b w:val="false"/>
          <w:i w:val="false"/>
          <w:caps w:val="false"/>
          <w:smallCaps w:val="false"/>
          <w:sz w:val="20"/>
          <w:u w:val="single"/>
        </w:rPr>
        <w:t xml:space="preserve">Financial Statements. </w:t>
      </w:r>
      <w:r>
        <w:rPr>
          <w:rFonts w:ascii="Times New Roman;Times;Serif" w:hAnsi="Times New Roman;Times;Serif"/>
          <w:b w:val="false"/>
          <w:i w:val="false"/>
          <w:caps w:val="false"/>
          <w:smallCaps w:val="false"/>
          <w:sz w:val="20"/>
        </w:rPr>
        <w:t>The financial statements of the Company included in the Registration Statement, the Pricing Disclosure Package and the Prospectus comply in all material respects with applicable accounting requirements and the rules and regulations of the Commission with respect thereto as in effect at the time of filing. Such financial statements have been prepared in accordance with United States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Registration Statement, the Pricing Disclosure Package and the Prospectus, conform in all material aspects to the descriptions thereof contained therein and there are no agreements or other documents required by the Securities Act and the rules and regulations thereunder to be described in the Registration Statement, the Pricing Disclosure Package, the Prospectus or to be filed with the Commission as exhibits to the Registration Statement, that have not been so described or filed. Each agreement or other instrument (however characterized or described) to which the Company or a Subsidiary is a party or by which it or such Subsidiary is or may be bound or affected and (i) that is referred to in the Registration Statement, the Pricing Disclosure Package, the Prospectus or (ii) is material to the Company’s business, has been duly authorized and validly executed by the Company or a Subsidiary, respectively, is in full force and effect in all material respects and is enforceable against the Company or such Subsidiary,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Except as described in the Registration Statement, none of such agreements or instruments has been assigned by the Company or a Subsidiary, and neither the Company nor a Subsidiary or to the best knowledge of the Company or such Subsidiary as applicable any other party is in default thereunder and no event has occurred that, with the lapse of time or the giving of notice, or both, would constitute a default thereunder, except, in each case, for those defaults which (individually or in the aggregate) would not have or reasonably be expected to result in a Material Adverse Change. Performance by the Company or a Subsidiary of the material provisions of such agreements or instruments will not result in a violation of any existing applicable law, rule, regulation, judgment, order, or decree of any governmental agency or court, domestic or foreign, having jurisdiction over the Company, a Subsidiary, or any of their assets or businesses, including, without limitation, those relating to Environmental Laws and regulations, except, in each case, for those violations which (individually or in the aggregate) would not have or reasonably be expected to result in a Material Adverse Change.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The Company, subject to Section 3.2.2, shall comply in all material respects with the requirements of Rule 430A of the Securities Act Regulations, and will notify the Underwriter on the same calendar day, and confirm the notice in writing, (i) when any post-effective amendment to the Registration Statement shall become effective or any amendment or supplement to the Prospectus shall have been filed; (ii) of its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Public Securities for offering or sale in any jurisdiction, or of the initiation or threat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Public Securities. The Company shall effect all filings required under Rule 424(b) of the Securities Act Regulations, in the manner and within the time period required by Rule 424(b), and shall take such steps as it deems necessary to ascertain promptly whether the form of prospectus transmitted for filing under Rule 424(b) was received for filing by the Commission and, in the event that it was not, it will promptly file such prospectus. The Company shall prevent the issuance of any stop order, prevention or suspension and, if any such order is issued, to obtain the lifting thereof at the earliest possible moment.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w:t>
      </w:r>
      <w:r>
        <w:rPr>
          <w:rFonts w:ascii="Times New Roman;Times;Serif" w:hAnsi="Times New Roman;Times;Serif"/>
          <w:b w:val="false"/>
          <w:i w:val="false"/>
          <w:caps w:val="false"/>
          <w:smallCaps w:val="false"/>
          <w:sz w:val="20"/>
          <w:u w:val="single"/>
        </w:rPr>
        <w:t>Continued Compliance</w:t>
      </w:r>
      <w:r>
        <w:rPr>
          <w:rFonts w:ascii="Times New Roman;Times;Serif" w:hAnsi="Times New Roman;Times;Serif"/>
          <w:b w:val="false"/>
          <w:i w:val="false"/>
          <w:caps w:val="false"/>
          <w:smallCaps w:val="false"/>
          <w:sz w:val="20"/>
        </w:rPr>
        <w:t>. The Company shall comply in all material respects with the Securities Act, the Securities Act Regulations, the Exchange Act and the Exchange Act Regulations so as to permit the completion of the distribution of the Public Securities as contemplated in this Agreement and in the Registration Statement, the Pricing Disclosure Package and the Prospectus. If at any time when a prospectus relating to the Public Securities is (or, but for the exception afforded by Rule 172 of the Securities Act Regulations (“</w:t>
      </w:r>
      <w:r>
        <w:rPr>
          <w:rFonts w:ascii="Times New Roman;Times;Serif" w:hAnsi="Times New Roman;Times;Serif"/>
          <w:b/>
          <w:i w:val="false"/>
          <w:caps w:val="false"/>
          <w:smallCaps w:val="false"/>
          <w:sz w:val="20"/>
        </w:rPr>
        <w:t>Rule 172</w:t>
      </w:r>
      <w:r>
        <w:rPr>
          <w:rFonts w:ascii="Times New Roman;Times;Serif" w:hAnsi="Times New Roman;Times;Serif"/>
          <w:b w:val="false"/>
          <w:i w:val="false"/>
          <w:caps w:val="false"/>
          <w:smallCaps w:val="false"/>
          <w:sz w:val="20"/>
        </w:rPr>
        <w:t xml:space="preserve">”), would be) required by the Securities Act to be delivered in connection with sales of the Public Securities, any event shall occur or condition shall exist as a result of which it is necessary, in the opinion of counsel to the Company or Underwriter’s Counsel,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Pricing Disclosure Package or the Prospectus in order that the Pricing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Pricing Disclosure Package or the Prospectus, as the case may be, in order to comply with the requirements of the Securities Act or the Securities Act Regulations. The Company will, within the same calendar day, (i) give the Underwriter notice of such event; (ii) prepare any amendment or supplement as may be necessary to correct such statement or omission or to make the Registration Statement, the Pricing Disclosure Package or the Prospectus comply with the requirements of the Securities Act, the Securities Act Regulations, the Exchange Act and the Exchange Act Regulations and, within at least three (3) Business Days prior to any proposed filing or use, furnish the Underwriter with copies of any such amendment or supplement and (iii) file with the Commission any such amendment or supplement;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Company shall not file or use any such amendment or supplement to which the Underwriter or Underwriter’s Counsel shall object. The Company will furnish to the Underwriter such number of copies of such amendment or supplement as the Underwriter may request. The Company will give the Underwriter notice of any filings made pursuant to the Exchange Act or the Exchange Act Regulations within at least three (3) Business Days prior to the Applicable Time. The Company shall give the Underwriter notice of its intention to make any such filing from the Applicable Time until the Closing Date and will furnish the Underwriter with copies of the related document(s) within at least three (3) Business Days prior to such proposed filing, as the case may be, and will not file or use any such document to which the Underwriter or Underwriter’s Counsel shall object.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w:t>
      </w:r>
      <w:r>
        <w:rPr>
          <w:rFonts w:ascii="Times New Roman;Times;Serif" w:hAnsi="Times New Roman;Times;Serif"/>
          <w:b w:val="false"/>
          <w:i w:val="false"/>
          <w:caps w:val="false"/>
          <w:smallCaps w:val="false"/>
          <w:sz w:val="20"/>
          <w:u w:val="single"/>
        </w:rPr>
        <w:t>Exchange Act Registration</w:t>
      </w:r>
      <w:r>
        <w:rPr>
          <w:rFonts w:ascii="Times New Roman;Times;Serif" w:hAnsi="Times New Roman;Times;Serif"/>
          <w:b w:val="false"/>
          <w:i w:val="false"/>
          <w:caps w:val="false"/>
          <w:smallCaps w:val="false"/>
          <w:sz w:val="20"/>
        </w:rPr>
        <w:t>. The Company shall maintain the registration of the Public Securities under the Exchange Act (except in connection with a going-private transaction) for a period of three years from the Effective Date, or until the Company is liquidated or is acquired, if earlier. For a period of three years from the Effective Date, the Company shall not deregister any of the Public Securities under the Exchange Act without prior notice to the Underwriter.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3.2.4. </w:t>
      </w:r>
      <w:r>
        <w:rPr>
          <w:rFonts w:ascii="Times New Roman;Times;Serif" w:hAnsi="Times New Roman;Times;Serif"/>
          <w:b w:val="false"/>
          <w:i w:val="false"/>
          <w:caps w:val="false"/>
          <w:smallCaps w:val="false"/>
          <w:sz w:val="20"/>
          <w:u w:val="single"/>
        </w:rPr>
        <w:t>Free Writing Prospectuses</w:t>
      </w:r>
      <w:r>
        <w:rPr>
          <w:rFonts w:ascii="Times New Roman;Times;Serif" w:hAnsi="Times New Roman;Times;Serif"/>
          <w:b w:val="false"/>
          <w:i w:val="false"/>
          <w:caps w:val="false"/>
          <w:smallCaps w:val="false"/>
          <w:sz w:val="20"/>
        </w:rPr>
        <w:t xml:space="preserve">. The Company agrees that, unless it obtains the prior written consent of the Underwriter, it shall not make any offer relating to the Public Securities that would constitute an Issuer Free Writing Prospectus or that would otherwise constitute a “free writing prospectus,” or a portion thereof, required to be filed by the Company with the Commission or retained by the Company under Rule 433;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the Underwriter shall be deemed to have consented to each Issuer General Use Free Writing Prospectus set forth in </w:t>
      </w:r>
      <w:r>
        <w:rPr>
          <w:rFonts w:ascii="Times New Roman;Times;Serif" w:hAnsi="Times New Roman;Times;Serif"/>
          <w:b w:val="false"/>
          <w:i w:val="false"/>
          <w:caps w:val="false"/>
          <w:smallCaps w:val="false"/>
          <w:sz w:val="20"/>
          <w:u w:val="single"/>
        </w:rPr>
        <w:t>Schedule 2-B</w:t>
      </w:r>
      <w:r>
        <w:rPr>
          <w:rFonts w:ascii="Times New Roman;Times;Serif" w:hAnsi="Times New Roman;Times;Serif"/>
          <w:b w:val="false"/>
          <w:i w:val="false"/>
          <w:caps w:val="false"/>
          <w:smallCaps w:val="false"/>
          <w:sz w:val="20"/>
        </w:rPr>
        <w:t>. The Company represents that it has treated or agrees that it will treat each such free writing prospectus consented to, or deemed consented to, by the Underwriter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 and will promptly amend or supplement, at its own expense, such Issuer Free Writing Prospectus to eliminate or correct such conflict, untrue statement or omission.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w:t>
      </w:r>
      <w:r>
        <w:rPr>
          <w:rFonts w:ascii="Times New Roman;Times;Serif" w:hAnsi="Times New Roman;Times;Serif"/>
          <w:b w:val="false"/>
          <w:i w:val="false"/>
          <w:caps w:val="false"/>
          <w:smallCaps w:val="false"/>
          <w:sz w:val="20"/>
          <w:u w:val="single"/>
        </w:rPr>
        <w:t>Testing-the-Waters Communications</w:t>
      </w:r>
      <w:r>
        <w:rPr>
          <w:rFonts w:ascii="Times New Roman;Times;Serif" w:hAnsi="Times New Roman;Times;Serif"/>
          <w:b w:val="false"/>
          <w:i w:val="false"/>
          <w:caps w:val="false"/>
          <w:smallCaps w:val="false"/>
          <w:sz w:val="20"/>
        </w:rPr>
        <w:t>. If at any time following the distribution of any Testing-the-Waters Communication that is a written communication within the meaning of Rule 405 of the Securities Act Regulations (a “</w:t>
      </w:r>
      <w:r>
        <w:rPr>
          <w:rFonts w:ascii="Times New Roman;Times;Serif" w:hAnsi="Times New Roman;Times;Serif"/>
          <w:b/>
          <w:i w:val="false"/>
          <w:caps w:val="false"/>
          <w:smallCaps w:val="false"/>
          <w:sz w:val="20"/>
        </w:rPr>
        <w:t>Written Testing-the-Waters Communication</w:t>
      </w:r>
      <w:r>
        <w:rPr>
          <w:rFonts w:ascii="Times New Roman;Times;Serif" w:hAnsi="Times New Roman;Times;Serif"/>
          <w:b w:val="false"/>
          <w:i w:val="false"/>
          <w:caps w:val="false"/>
          <w:smallCaps w:val="false"/>
          <w:sz w:val="20"/>
        </w:rPr>
        <w:t>”)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shall promptly notify the Underwriter and shall promptly amend or supplement, at its own expense, such Written Testing-the-Waters Communication to eliminate or correct such untrue statement or omission.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Delivery to the Underwriter of Registration Statements</w:t>
      </w:r>
      <w:r>
        <w:rPr>
          <w:rFonts w:ascii="Times New Roman;Times;Serif" w:hAnsi="Times New Roman;Times;Serif"/>
          <w:b w:val="false"/>
          <w:i w:val="false"/>
          <w:caps w:val="false"/>
          <w:smallCaps w:val="false"/>
          <w:sz w:val="20"/>
        </w:rPr>
        <w:t>. The Company has delivered or made available or shall deliver or make available to the Underwriter and Underwriter’s Counsel, without charge, signed copies of the Registration Statement as originally filed and each amendment thereto (including exhibits filed therewith) and signed copies of all consents and certificates of experts, and will also deliver to the Underwriter and/or Underwriter’s Counsel, without charge, a conformed copy of the Registration Statement as originally filed and each amendment thereto (without exhibits) upon receipt of a written request therefor from Underwriter and/or Underwriter’s Counsel (as applicable). The copies of the Registration Statement and each amendment thereto furnished to the Underwriter and/or Underwriter’s Counsel will be identical to the electronically transmitted copies thereof filed with the Commission pursuant to EDGAR, except to the extent permitted by Regulation 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Delivery to the Underwriter of Prospectuses</w:t>
      </w:r>
      <w:r>
        <w:rPr>
          <w:rFonts w:ascii="Times New Roman;Times;Serif" w:hAnsi="Times New Roman;Times;Serif"/>
          <w:b w:val="false"/>
          <w:i w:val="false"/>
          <w:caps w:val="false"/>
          <w:smallCaps w:val="false"/>
          <w:sz w:val="20"/>
        </w:rPr>
        <w:t>. The Company has delivered or made available or will deliver or make available to the Underwriter, without charge, as many copies of each Preliminary Prospectus as the Underwriter reasonably requested, and the Company hereby consents to the use of such copies for purposes permitted by the Securities Act. The Company will furnish to the Underwriter and/or Underwriter’s Counsel, without charge, during the period when a prospectus relating to the Public Securities is (or, but for the exception afforded by Rule 172 of the Securities Act Regulations, would be) required to be delivered under the Securities Act, such number of copies of the Prospectus (as amended or supplemented) as the Underwriter and/or Underwriter’s Counsel (as applicable) may reasonably request. The Prospectus and any amendments or supplements thereto furnished to the Underwriter and/or Underwriter’s Counsel will be identical to the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Effectiveness and Events Requiring Notice to the Underwriter</w:t>
      </w:r>
      <w:r>
        <w:rPr>
          <w:rFonts w:ascii="Times New Roman;Times;Serif" w:hAnsi="Times New Roman;Times;Serif"/>
          <w:b w:val="false"/>
          <w:i w:val="false"/>
          <w:caps w:val="false"/>
          <w:smallCaps w:val="false"/>
          <w:sz w:val="20"/>
        </w:rPr>
        <w:t>. The Company shall use its commercially reasonable efforts to cause the Registration Statement to remain effective with a current prospectus for at least nine (9) months after the Applicable Time, and shall notify the Underwriter promptly and confirm the notice in writing of: (i) the effectiveness of the Registration Statement and any amendment thereto; (ii) the issuance by the Commission of any stop order or of the initiation, or the threatening, of any proceeding for that purpose; (iii) the issuance by any state securities commission of any proceedings for the suspension of the qualification of the Public Securities for offering or sale in any jurisdiction or of the initiation, or the threatening, of any proceeding for that purpose; (iv) the mailing and delivery to the Commission for filing of any amendment or supplement to the Registration Statement or Prospectus; (v) the receipt of any comments or request for any additional information from the Commission; and (vi) the occurrence of any event during the period described in this Section 3.5 that, in the reasonable judgment of the Company, makes any statement of a material fact made in the Registration Statement, the Pricing Disclosure Package or the Prospectus untrue or that requires the making of any changes in (a) the Registration Statement in order to make the statements therein not misleading, or (b) in the Pricing Disclosure Package or the Prospectus in order to make the statements therein, in the light of the circumstances under which they were made, not misleading. If the Commission or any state securities commission shall enter a stop order or suspend such qualification at any time, the Company shall promptly obtain the lifting of such order.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Consideration; Payment of Expenses.</w:t>
      </w:r>
      <w:r>
        <w:rPr>
          <w:rFonts w:ascii="Times New Roman;Times;Serif" w:hAnsi="Times New Roman;Times;Serif"/>
          <w:b w:val="false"/>
          <w:i w:val="false"/>
          <w:caps w:val="false"/>
          <w:smallCaps w:val="false"/>
          <w:sz w:val="20"/>
        </w:rPr>
        <w:t xml:space="preserve"> In consideration of the services provided by the Underwriter pursuant to in this Agreement, the Company shall afford to the Underwriter or its respective designees, if any, their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portion (of Firm Shares purchased in this Offering) of their compensation as follows: (a) an underwriting discount equal to six percent (6%) of the gross proceeds of the securities being Offered from investors introduced by EDDID, and a gross discount equal to 3% of gross proceeds (or in cash in the equivalent amount) of the securities being offered from investors introduced by the Company (the “</w:t>
      </w:r>
      <w:r>
        <w:rPr>
          <w:rFonts w:ascii="Times New Roman;Times;Serif" w:hAnsi="Times New Roman;Times;Serif"/>
          <w:b/>
          <w:i w:val="false"/>
          <w:caps w:val="false"/>
          <w:smallCaps w:val="false"/>
          <w:sz w:val="20"/>
        </w:rPr>
        <w:t>Underwriting Discount</w:t>
      </w:r>
      <w:r>
        <w:rPr>
          <w:rFonts w:ascii="Times New Roman;Times;Serif" w:hAnsi="Times New Roman;Times;Serif"/>
          <w:b w:val="false"/>
          <w:i w:val="false"/>
          <w:caps w:val="false"/>
          <w:smallCaps w:val="false"/>
          <w:sz w:val="20"/>
        </w:rPr>
        <w:t>”); (b) a non-accountable expense allowance of one percent (1%) of the gross proceeds of the Offering (the “</w:t>
      </w:r>
      <w:r>
        <w:rPr>
          <w:rFonts w:ascii="Times New Roman;Times;Serif" w:hAnsi="Times New Roman;Times;Serif"/>
          <w:b/>
          <w:i w:val="false"/>
          <w:caps w:val="false"/>
          <w:smallCaps w:val="false"/>
          <w:sz w:val="20"/>
        </w:rPr>
        <w:t>Non-Accountable Expense Allowance</w:t>
      </w:r>
      <w:r>
        <w:rPr>
          <w:rFonts w:ascii="Times New Roman;Times;Serif" w:hAnsi="Times New Roman;Times;Serif"/>
          <w:b w:val="false"/>
          <w:i w:val="false"/>
          <w:caps w:val="false"/>
          <w:smallCaps w:val="false"/>
          <w:sz w:val="20"/>
        </w:rPr>
        <w:t>”); (c) an accountable expense allowance of up to $250,000, including but not limited to reasonable and documented travel, legal fees, due diligence fees, and other expenses and disbursements, incurred in connection with the Underwriter’s services for the purpose of the Offering, regardless of whether the Offering is successfully closed or not; (d) the Underwriter reserves the right to reduce any item of compensation or adjust the terms thereof as specified herein in the event that a determination shall be made by FINRA to the effect that the Underwriter’s aggregate compensation is in excess of FINRA rules or that the terms thereof require adjustment; (e) whether or not the transactions contemplated by this Agreement, the Registration Statement and the Prospectus are consummated or this Agreement is terminated, the Company hereby agrees to pay the Underwriter the following reasonable, necessary and accountable out-of-pocket expenses: (i) the costs of preparing, printing and filing the registration statement with the Commission, amendments and supplements thereto, and post-effective amendments, filing with FINRA and payment of all necessary fees in connection therewith and the printing of a sufficient quantity of preliminary and final prospectuses as the Underwriter may reasonably request; (ii) the costs of preparing, printing and delivering exhibits to the documents set forth in clause (i) of this Section 3.6, in such quantities as the Underwriter may reasonably request; (iii) all fees, expenses and disbursements relating to the registration, qualification or exemption of the Public Securities under the securities laws of foreign jurisdictions designated by the Underwriter; (iv) fees of counsel and accountants for the Company, including fees associated with any blue sky filings where applicable; (v) fees associated with the Company’s transfer agent; and (vi) fees, if necessary, associated with translation services. The Underwriter may, upon presentation of relevant supporting documents (e.g. invoices and receipts), deduct from the net proceeds of the Offering payable to the Company on the Closing Date the expenses set forth in this Section 3.6 to be paid by the Company to the Underwriter.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Application of Net Proceeds</w:t>
      </w:r>
      <w:r>
        <w:rPr>
          <w:rFonts w:ascii="Times New Roman;Times;Serif" w:hAnsi="Times New Roman;Times;Serif"/>
          <w:b w:val="false"/>
          <w:i w:val="false"/>
          <w:caps w:val="false"/>
          <w:smallCaps w:val="false"/>
          <w:sz w:val="20"/>
        </w:rPr>
        <w:t>. The Company shall apply the net proceeds from the Offering received by it in a manner consistent with the application thereof described under the caption “Use of Proceeds” in the Registration Statement, the Pricing Disclosure Package and the Prospectus.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Delivery of Earnings Statements to Security Holder</w:t>
      </w:r>
      <w:r>
        <w:rPr>
          <w:rFonts w:ascii="Times New Roman;Times;Serif" w:hAnsi="Times New Roman;Times;Serif"/>
          <w:b w:val="false"/>
          <w:i w:val="false"/>
          <w:caps w:val="false"/>
          <w:smallCaps w:val="false"/>
          <w:sz w:val="20"/>
        </w:rPr>
        <w:t>s. The Company shall make generally available to its security holders as soon as practicable an earnings statement (which need not be certified by an independent registered public accounting firm unless required by the Securities Act or the Securities Act Regulations, but which shall satisfy the provisions of Rule 158(a) under Section 11(a) of the Securities Act) covering a period of at least twelve (12) consecutive months beginning after the date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Stabilizatio</w:t>
      </w:r>
      <w:r>
        <w:rPr>
          <w:rFonts w:ascii="Times New Roman;Times;Serif" w:hAnsi="Times New Roman;Times;Serif"/>
          <w:b w:val="false"/>
          <w:i w:val="false"/>
          <w:caps w:val="false"/>
          <w:smallCaps w:val="false"/>
          <w:sz w:val="20"/>
        </w:rPr>
        <w:t>n. Neither the Company nor any of its employees, directors or stockholders has taken or shall take,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Internal Control</w:t>
      </w:r>
      <w:r>
        <w:rPr>
          <w:rFonts w:ascii="Times New Roman;Times;Serif" w:hAnsi="Times New Roman;Times;Serif"/>
          <w:b w:val="false"/>
          <w:i w:val="false"/>
          <w:caps w:val="false"/>
          <w:smallCaps w:val="false"/>
          <w:sz w:val="20"/>
        </w:rPr>
        <w:t>s. The Company shall maintain a system of internal accounting controls sufficient to provide reasonable assurances that: (i) the Company’s transactions are executed in accordance with management’s general or specific authorization; (ii) the Company’s transactions are recorded as necessary in order to permit preparation of financial statements in accordance with GAAP and to maintain accountability for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For a period of 60 days from the later of the Closing Date, the Company shall advise the Underwriter (who shall make an appropriate filing with FINRA) if it is or becomes aware that (i) any officer or director of the Company, (ii) any beneficial owner of 10% or more of any class of the Company’s securities or (iii) any beneficial owner of the Company’s unregistered equity securities which were acquired during the 180 days immediately preceding the filing of the Registration Statement is or becomes an affiliate or associated person of a FINRA member participating in the Offering (as determined in accordance with the rules and regulations of FINRA).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No Fiduciary Duties</w:t>
      </w:r>
      <w:r>
        <w:rPr>
          <w:rFonts w:ascii="Times New Roman;Times;Serif" w:hAnsi="Times New Roman;Times;Serif"/>
          <w:b w:val="false"/>
          <w:i w:val="false"/>
          <w:caps w:val="false"/>
          <w:smallCaps w:val="false"/>
          <w:sz w:val="20"/>
        </w:rPr>
        <w:t>. The Company acknowledges and agrees that the Underwriter’s responsibility to the Company is solely contractual in nature and that none of the Underwriter or their affiliates or any selling agent shall be deemed to be acting in a fiduciary capacity, or otherwise owes any fiduciary duty to the Company or any of its affiliates in connection with the Offering and the other transactions contemplated by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Company Lock-Up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3.14.1. </w:t>
      </w:r>
      <w:r>
        <w:rPr>
          <w:rFonts w:ascii="Times New Roman;Times;Serif" w:hAnsi="Times New Roman;Times;Serif"/>
          <w:b w:val="false"/>
          <w:i w:val="false"/>
          <w:caps w:val="false"/>
          <w:smallCaps w:val="false"/>
          <w:sz w:val="20"/>
          <w:u w:val="single"/>
        </w:rPr>
        <w:t>Restriction on Sales of Capital Stock</w:t>
      </w:r>
      <w:r>
        <w:rPr>
          <w:rFonts w:ascii="Times New Roman;Times;Serif" w:hAnsi="Times New Roman;Times;Serif"/>
          <w:b w:val="false"/>
          <w:i w:val="false"/>
          <w:caps w:val="false"/>
          <w:smallCaps w:val="false"/>
          <w:sz w:val="20"/>
        </w:rPr>
        <w:t>. The Company, on behalf of itself and any successor entity, agrees that, without the prior written consent of the Underwriter, it will not, for a period of six (6) months days after the date of the Offering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and each of the Company any successors of the Company will not, for a period of six (6) months after the closing date of the Offering,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w:t>
      </w:r>
      <w:r>
        <w:rPr>
          <w:rFonts w:ascii="Times New Roman;Times;Serif" w:hAnsi="Times New Roman;Times;Serif"/>
          <w:b/>
          <w:i w:val="false"/>
          <w:caps w:val="false"/>
          <w:smallCaps w:val="false"/>
          <w:sz w:val="20"/>
        </w:rPr>
        <w:t>Lock-up Securities</w:t>
      </w:r>
      <w:r>
        <w:rPr>
          <w:rFonts w:ascii="Times New Roman;Times;Serif" w:hAnsi="Times New Roman;Times;Serif"/>
          <w:b w:val="false"/>
          <w:i w:val="false"/>
          <w:caps w:val="false"/>
          <w:smallCaps w:val="false"/>
          <w:sz w:val="20"/>
        </w:rPr>
        <w:t>”); (ii) file or cause to be filed any registration statement with the Commission relating to the offering of any shares of Lock-up Securities; (iii) complete any offering of debt securities of the Company without notice to the Underwriter, other than entering into a line of credit or senior credit facility with a traditional bank or other lending institution, or (iv) enter into any swap or other arrangement that transfers to another, in whole or in part, any of the economic consequences of ownership of capital stock of the Company, whether any such transaction described in clause (i), (ii), (iii) or (iv) above is to be settled by delivery of shares of capital stock of the Company or such other securities, in cash or otherwise.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contained in this Section 3.14.1 shall not apply to (i) the Public Securities to be sold hereunder, (ii) the issuance by the Company of shares of capital stock upon the exercise of an outstanding stock option or warrant or the conversion of a security outstanding on the date hereof, of which the Underwriter has been advised in writing, (iii) the issuance by the Company of any security under any equity compensation plan of the Company or (iv) any issuance of securities disclosed in the Registration Statement, the Pricing Disclosure Package or the Prospectus.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Release from Lock-Up Agreements</w:t>
      </w:r>
      <w:r>
        <w:rPr>
          <w:rFonts w:ascii="Times New Roman;Times;Serif" w:hAnsi="Times New Roman;Times;Serif"/>
          <w:b w:val="false"/>
          <w:i w:val="false"/>
          <w:caps w:val="false"/>
          <w:smallCaps w:val="false"/>
          <w:sz w:val="20"/>
        </w:rPr>
        <w:t xml:space="preserve">. If the Underwriter, in its sole discretion, agrees to release or waive the restrictions set forth in the Lock-Up Agreements described in Section 2.25 hereof for a Lock-Up Party and provides the Company with notice of the impending release or waiver at least two (2) Business Days before the effective date of the release or waiver, the Company agrees to announce the impending release or waiver by a press release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through a major news service at least two (2) Business Days before the effective date of the release or waiver. The provisions of this Section 3.15 shall not apply if (i) the release or waiver is effected solely to permit a transfer of Lock-Up Securities not for consideration and (ii) the transferee has agreed in writing to be bound by the same terms described in the lock-up agreement to the extent and for the duration that such terms remain in effect at the time of such transfer.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Blue Sky Qualifications</w:t>
      </w:r>
      <w:r>
        <w:rPr>
          <w:rFonts w:ascii="Times New Roman;Times;Serif" w:hAnsi="Times New Roman;Times;Serif"/>
          <w:b w:val="false"/>
          <w:i w:val="false"/>
          <w:caps w:val="false"/>
          <w:smallCaps w:val="false"/>
          <w:sz w:val="20"/>
        </w:rPr>
        <w:t xml:space="preserve">. The Company shall, in cooperation with the Underwriter, if necessary, qualify the Public Securities for offering and sale under the applicable securities laws of such states and other jurisdictions (domestic or foreign) as the Underwriter may designate and to maintain such qualifications in effect so long as required to complete the distribution of the Public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Reporting Requirements</w:t>
      </w:r>
      <w:r>
        <w:rPr>
          <w:rFonts w:ascii="Times New Roman;Times;Serif" w:hAnsi="Times New Roman;Times;Serif"/>
          <w:b w:val="false"/>
          <w:i w:val="false"/>
          <w:caps w:val="false"/>
          <w:smallCaps w:val="false"/>
          <w:sz w:val="20"/>
        </w:rPr>
        <w:t>. The Company, during the period when a prospectus relating to the Public Securities is (or, but for the exception afforded by Rule 172, would 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Public Securities as may be required under Rule 463 under the Securities Act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w:t>
      </w:r>
      <w:r>
        <w:rPr>
          <w:rFonts w:ascii="Times New Roman;Times;Serif" w:hAnsi="Times New Roman;Times;Serif"/>
          <w:b w:val="false"/>
          <w:i w:val="false"/>
          <w:caps w:val="false"/>
          <w:smallCaps w:val="false"/>
          <w:sz w:val="20"/>
          <w:u w:val="single"/>
        </w:rPr>
        <w:t>Emerging Growth Company Status</w:t>
      </w:r>
      <w:r>
        <w:rPr>
          <w:rFonts w:ascii="Times New Roman;Times;Serif" w:hAnsi="Times New Roman;Times;Serif"/>
          <w:b w:val="false"/>
          <w:i w:val="false"/>
          <w:caps w:val="false"/>
          <w:smallCaps w:val="false"/>
          <w:sz w:val="20"/>
        </w:rPr>
        <w:t>. The Company shall promptly notify the Underwriter if the Company ceases to be an Emerging Growth Company at any time prior to the later of (i) completion of the distribution of the Public Securities within the meaning of the Securities Act and (ii) fifteen (15) days following the end of the Lock-Up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3.19. </w:t>
      </w:r>
      <w:r>
        <w:rPr>
          <w:rFonts w:ascii="Times New Roman;Times;Serif" w:hAnsi="Times New Roman;Times;Serif"/>
          <w:b w:val="false"/>
          <w:i w:val="false"/>
          <w:caps w:val="false"/>
          <w:smallCaps w:val="false"/>
          <w:sz w:val="20"/>
          <w:u w:val="single"/>
        </w:rPr>
        <w:t>Press Releases</w:t>
      </w:r>
      <w:r>
        <w:rPr>
          <w:rFonts w:ascii="Times New Roman;Times;Serif" w:hAnsi="Times New Roman;Times;Serif"/>
          <w:b w:val="false"/>
          <w:i w:val="false"/>
          <w:caps w:val="false"/>
          <w:smallCaps w:val="false"/>
          <w:sz w:val="20"/>
        </w:rPr>
        <w:t>. Except to the extent required by applicable law, rule, or regulation (including an Exchange rule or regulation), the Company shall not issue any press release or other communication directly or indirectly or hold any press conference from January 9, 2024 to a period of forty (40) days from the earlier to occur of (i) the termination of the Engagement Letter between the Parties dated January 9, 2024 (the “</w:t>
      </w:r>
      <w:r>
        <w:rPr>
          <w:rFonts w:ascii="Times New Roman;Times;Serif" w:hAnsi="Times New Roman;Times;Serif"/>
          <w:b/>
          <w:i w:val="false"/>
          <w:caps w:val="false"/>
          <w:smallCaps w:val="false"/>
          <w:sz w:val="20"/>
        </w:rPr>
        <w:t>Engagement Letter</w:t>
      </w:r>
      <w:r>
        <w:rPr>
          <w:rFonts w:ascii="Times New Roman;Times;Serif" w:hAnsi="Times New Roman;Times;Serif"/>
          <w:b w:val="false"/>
          <w:i w:val="false"/>
          <w:caps w:val="false"/>
          <w:smallCaps w:val="false"/>
          <w:sz w:val="20"/>
        </w:rPr>
        <w:t>”) or end of the Engagement Period or (ii) the closing date of the Offering, such press conference with respect to: (i) the Offering or (i) the Company, its condition, financial or otherwise, or earnings, business affairs or business prospects (except for routine oral marketing communications in the ordinary course of business and consistent with the past practices of the Company and of which the Underwriter is notified), without the prior written consent of the Underwriter.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3.20. </w:t>
      </w:r>
      <w:r>
        <w:rPr>
          <w:rFonts w:ascii="Times New Roman;Times;Serif" w:hAnsi="Times New Roman;Times;Serif"/>
          <w:b w:val="false"/>
          <w:i w:val="false"/>
          <w:caps w:val="false"/>
          <w:smallCaps w:val="false"/>
          <w:sz w:val="20"/>
          <w:u w:val="single"/>
        </w:rPr>
        <w:t>Sarbanes-Oxley</w:t>
      </w:r>
      <w:r>
        <w:rPr>
          <w:rFonts w:ascii="Times New Roman;Times;Serif" w:hAnsi="Times New Roman;Times;Serif"/>
          <w:b w:val="false"/>
          <w:i w:val="false"/>
          <w:caps w:val="false"/>
          <w:smallCaps w:val="false"/>
          <w:sz w:val="20"/>
        </w:rPr>
        <w:t>. the Company shall at all times comply in all material respects with all applicable provisions of the Sarbanes-Oxley Act in effect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Conditions of Underwriter’s Obligations</w:t>
      </w:r>
      <w:r>
        <w:rPr>
          <w:rFonts w:ascii="Times New Roman;Times;Serif" w:hAnsi="Times New Roman;Times;Serif"/>
          <w:b w:val="false"/>
          <w:i w:val="false"/>
          <w:caps w:val="false"/>
          <w:smallCaps w:val="false"/>
          <w:sz w:val="20"/>
        </w:rPr>
        <w:t>. The obligations of the Underwriter to purchase and pay for the Public Securities, as provided herein, shall be subject to (i) the continuing accuracy of the representations and warranties of the Company as of the date hereof and as of each of the Closing Date; (ii) the accuracy of the statements of officers of the Company made pursuant to the provisions hereof; (iii) the performance by the Company of its obligations hereunder; and (iv) the following conditions: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Effectiveness of Registration Statement; Rule 430A Information</w:t>
      </w:r>
      <w:r>
        <w:rPr>
          <w:rFonts w:ascii="Times New Roman;Times;Serif" w:hAnsi="Times New Roman;Times;Serif"/>
          <w:b w:val="false"/>
          <w:i w:val="false"/>
          <w:caps w:val="false"/>
          <w:smallCaps w:val="false"/>
          <w:sz w:val="20"/>
        </w:rPr>
        <w:t>. The Registration Statement shall become effective not later than 5:30 p.m., Eastern time, on the date of this Agreement or such later date and time as shall be consented to in writing by the Underwriter, and, at each of the Closing Date, no stop order suspending the effectiveness of the Registration Statement or any post-effective amendment thereto shall have been issued by the Commission under the Securities Act, no order preventing or suspending the use of any Preliminary Prospectus or the Prospectus shall have been issued and no proceedings for any of those purposes shall have been instituted or are pending or, to the Company’s knowledge, contemplated by the Commission. The Company has complied with each request (if any) from the Commission for additional information. A prospectus containing the Rule 430A Information shall have been filed with the Commission in the manner and within the time frame required by Rule 424(b) under the Securities Act Regulations or a post-effective amendment providing such information shall have been filed with, and declared effective by, the Commission in accordance with the requirements of Rule 430A under the Securities Act Regulations.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FINRA Clearance</w:t>
      </w:r>
      <w:r>
        <w:rPr>
          <w:rFonts w:ascii="Times New Roman;Times;Serif" w:hAnsi="Times New Roman;Times;Serif"/>
          <w:b w:val="false"/>
          <w:i w:val="false"/>
          <w:caps w:val="false"/>
          <w:smallCaps w:val="false"/>
          <w:sz w:val="20"/>
        </w:rPr>
        <w:t>. On or before the date of this Agreement, the Underwriter shall have received clearance from FINRA as to the amount of compensation allowable or payable to the Underwriter as described in the Registration Statement.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Exchange Clearance</w:t>
      </w:r>
      <w:r>
        <w:rPr>
          <w:rFonts w:ascii="Times New Roman;Times;Serif" w:hAnsi="Times New Roman;Times;Serif"/>
          <w:b w:val="false"/>
          <w:i w:val="false"/>
          <w:caps w:val="false"/>
          <w:smallCaps w:val="false"/>
          <w:sz w:val="20"/>
        </w:rPr>
        <w:t>. On the Closing Date, the Firm Shares shall have been approved for listing on the Exchange, subject only to official notice of issuance.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24</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Company Counsel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w:t>
      </w:r>
      <w:r>
        <w:rPr>
          <w:rFonts w:ascii="Times New Roman;Times;Serif" w:hAnsi="Times New Roman;Times;Serif"/>
          <w:b w:val="false"/>
          <w:i w:val="false"/>
          <w:caps w:val="false"/>
          <w:smallCaps w:val="false"/>
          <w:sz w:val="20"/>
          <w:u w:val="single"/>
        </w:rPr>
        <w:t>Closing Date Opinion of Counsel</w:t>
      </w:r>
      <w:r>
        <w:rPr>
          <w:rFonts w:ascii="Times New Roman;Times;Serif" w:hAnsi="Times New Roman;Times;Serif"/>
          <w:b w:val="false"/>
          <w:i w:val="false"/>
          <w:caps w:val="false"/>
          <w:smallCaps w:val="false"/>
          <w:sz w:val="20"/>
        </w:rPr>
        <w:t>. On the Closing Date, the Underwriter shall have received (i) the opinion and (ii) a written statement providing certain “10b-5” negative assurances, in each case, of Hogan Lovells (“</w:t>
      </w:r>
      <w:r>
        <w:rPr>
          <w:rFonts w:ascii="Times New Roman;Times;Serif" w:hAnsi="Times New Roman;Times;Serif"/>
          <w:b/>
          <w:i w:val="false"/>
          <w:caps w:val="false"/>
          <w:smallCaps w:val="false"/>
          <w:sz w:val="20"/>
        </w:rPr>
        <w:t>Company Counsel</w:t>
      </w:r>
      <w:r>
        <w:rPr>
          <w:rFonts w:ascii="Times New Roman;Times;Serif" w:hAnsi="Times New Roman;Times;Serif"/>
          <w:b w:val="false"/>
          <w:i w:val="false"/>
          <w:caps w:val="false"/>
          <w:smallCaps w:val="false"/>
          <w:sz w:val="20"/>
        </w:rPr>
        <w:t>”), counsel to the Company, dated the Closing Date and addressed to the Underwriter in customary form and reasonably acceptable to Underwriter.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w:t>
      </w:r>
      <w:r>
        <w:rPr>
          <w:rFonts w:ascii="Times New Roman;Times;Serif" w:hAnsi="Times New Roman;Times;Serif"/>
          <w:b w:val="false"/>
          <w:i w:val="false"/>
          <w:caps w:val="false"/>
          <w:smallCaps w:val="false"/>
          <w:sz w:val="20"/>
          <w:u w:val="single"/>
        </w:rPr>
        <w:t>Closing Date Opinion of Cayman Counsel</w:t>
      </w:r>
      <w:r>
        <w:rPr>
          <w:rFonts w:ascii="Times New Roman;Times;Serif" w:hAnsi="Times New Roman;Times;Serif"/>
          <w:b w:val="false"/>
          <w:i w:val="false"/>
          <w:caps w:val="false"/>
          <w:smallCaps w:val="false"/>
          <w:sz w:val="20"/>
        </w:rPr>
        <w:t>. On the Closing Date, the Underwriter shall have received the favorable opinion of Maples and Calder (Hong Kong) LLP, Cayman Islands counsel for the Company (“</w:t>
      </w:r>
      <w:r>
        <w:rPr>
          <w:rFonts w:ascii="Times New Roman;Times;Serif" w:hAnsi="Times New Roman;Times;Serif"/>
          <w:b/>
          <w:i w:val="false"/>
          <w:caps w:val="false"/>
          <w:smallCaps w:val="false"/>
          <w:sz w:val="20"/>
        </w:rPr>
        <w:t>Cayman Counsel</w:t>
      </w:r>
      <w:r>
        <w:rPr>
          <w:rFonts w:ascii="Times New Roman;Times;Serif" w:hAnsi="Times New Roman;Times;Serif"/>
          <w:b w:val="false"/>
          <w:i w:val="false"/>
          <w:caps w:val="false"/>
          <w:smallCaps w:val="false"/>
          <w:sz w:val="20"/>
        </w:rPr>
        <w:t>”), dated the Closing Date, in a customary form and substance reasonably satisfactory to Underwriter’s Counsel addressed to the Underwriter and stating that such opinions may be relied upon by the Underwriter.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w:t>
      </w:r>
      <w:r>
        <w:rPr>
          <w:rFonts w:ascii="Times New Roman;Times;Serif" w:hAnsi="Times New Roman;Times;Serif"/>
          <w:b w:val="false"/>
          <w:i w:val="false"/>
          <w:caps w:val="false"/>
          <w:smallCaps w:val="false"/>
          <w:sz w:val="20"/>
          <w:u w:val="single"/>
        </w:rPr>
        <w:t>Closing Date Opinion of Singaporean Counsel</w:t>
      </w:r>
      <w:r>
        <w:rPr>
          <w:rFonts w:ascii="Times New Roman;Times;Serif" w:hAnsi="Times New Roman;Times;Serif"/>
          <w:b w:val="false"/>
          <w:i w:val="false"/>
          <w:caps w:val="false"/>
          <w:smallCaps w:val="false"/>
          <w:sz w:val="20"/>
        </w:rPr>
        <w:t>. On the Closing Date, the Underwriter shall have received the favorable opinion of Resource Law LLC, Singaporean counsel for the Company (“</w:t>
      </w:r>
      <w:r>
        <w:rPr>
          <w:rFonts w:ascii="Times New Roman;Times;Serif" w:hAnsi="Times New Roman;Times;Serif"/>
          <w:b/>
          <w:i w:val="false"/>
          <w:caps w:val="false"/>
          <w:smallCaps w:val="false"/>
          <w:sz w:val="20"/>
        </w:rPr>
        <w:t>Singaporean Counsel</w:t>
      </w:r>
      <w:r>
        <w:rPr>
          <w:rFonts w:ascii="Times New Roman;Times;Serif" w:hAnsi="Times New Roman;Times;Serif"/>
          <w:b w:val="false"/>
          <w:i w:val="false"/>
          <w:caps w:val="false"/>
          <w:smallCaps w:val="false"/>
          <w:sz w:val="20"/>
        </w:rPr>
        <w:t>”), dated the Closing Date, in a customary form and substance reasonably satisfactory to Underwriter’s Counsel addressed to the Underwriter and stating that such opinions may be relied upon by the Underwriter.</w:t>
      </w:r>
    </w:p>
    <w:p>
      <w:pPr>
        <w:pStyle w:val="TextBody"/>
        <w:bidi w:val="0"/>
        <w:spacing w:before="0" w:after="0"/>
        <w:ind w:left="0" w:right="0" w:firstLine="144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50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4.2.4</w:t>
            </w:r>
          </w:p>
        </w:tc>
        <w:tc>
          <w:tcPr>
            <w:tcW w:w="1130" w:type="dxa"/>
            <w:tcBorders/>
            <w:vAlign w:val="center"/>
          </w:tcPr>
          <w:p>
            <w:pPr>
              <w:pStyle w:val="TableContents"/>
              <w:bidi w:val="0"/>
              <w:spacing w:before="0" w:after="283"/>
              <w:jc w:val="both"/>
              <w:rPr/>
            </w:pPr>
            <w:r>
              <w:rPr>
                <w:u w:val="single"/>
              </w:rPr>
              <w:t>[Reserved]</w:t>
            </w:r>
            <w:r>
              <w:rPr/>
              <w:t>.</w:t>
            </w:r>
          </w:p>
        </w:tc>
      </w:tr>
    </w:tbl>
    <w:p>
      <w:pPr>
        <w:pStyle w:val="TextBody"/>
        <w:bidi w:val="0"/>
        <w:spacing w:before="0" w:after="0"/>
        <w:ind w:left="0" w:right="0" w:firstLine="144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56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4.2.5.</w:t>
            </w:r>
          </w:p>
        </w:tc>
        <w:tc>
          <w:tcPr>
            <w:tcW w:w="1130" w:type="dxa"/>
            <w:tcBorders/>
            <w:vAlign w:val="center"/>
          </w:tcPr>
          <w:p>
            <w:pPr>
              <w:pStyle w:val="TableContents"/>
              <w:bidi w:val="0"/>
              <w:spacing w:before="0" w:after="283"/>
              <w:jc w:val="both"/>
              <w:rPr/>
            </w:pPr>
            <w:r>
              <w:rPr>
                <w:u w:val="single"/>
              </w:rPr>
              <w:t>[Reserved]</w:t>
            </w:r>
            <w:r>
              <w:rPr/>
              <w:t>.</w:t>
            </w:r>
          </w:p>
        </w:tc>
      </w:tr>
    </w:tbl>
    <w:p>
      <w:pPr>
        <w:pStyle w:val="TextBody"/>
        <w:bidi w:val="0"/>
        <w:spacing w:before="0" w:after="0"/>
        <w:ind w:left="0" w:right="0" w:firstLine="144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56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4.2.6.</w:t>
            </w:r>
          </w:p>
        </w:tc>
        <w:tc>
          <w:tcPr>
            <w:tcW w:w="1130" w:type="dxa"/>
            <w:tcBorders/>
            <w:vAlign w:val="center"/>
          </w:tcPr>
          <w:p>
            <w:pPr>
              <w:pStyle w:val="TableContents"/>
              <w:bidi w:val="0"/>
              <w:spacing w:before="0" w:after="283"/>
              <w:jc w:val="both"/>
              <w:rPr/>
            </w:pPr>
            <w:r>
              <w:rPr>
                <w:u w:val="single"/>
              </w:rPr>
              <w:t>[Reserved]</w:t>
            </w:r>
            <w:r>
              <w:rPr/>
              <w:t>.</w:t>
            </w:r>
          </w:p>
        </w:tc>
      </w:tr>
    </w:tbl>
    <w:p>
      <w:pPr>
        <w:pStyle w:val="TextBody"/>
        <w:bidi w:val="0"/>
        <w:spacing w:before="0" w:after="0"/>
        <w:ind w:left="0" w:right="0" w:firstLine="144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56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4.2.7.</w:t>
            </w:r>
          </w:p>
        </w:tc>
        <w:tc>
          <w:tcPr>
            <w:tcW w:w="1130" w:type="dxa"/>
            <w:tcBorders/>
            <w:vAlign w:val="center"/>
          </w:tcPr>
          <w:p>
            <w:pPr>
              <w:pStyle w:val="TableContents"/>
              <w:bidi w:val="0"/>
              <w:spacing w:before="0" w:after="283"/>
              <w:jc w:val="both"/>
              <w:rPr/>
            </w:pPr>
            <w:r>
              <w:rPr>
                <w:u w:val="single"/>
              </w:rPr>
              <w:t>[Reserved]</w:t>
            </w:r>
            <w:r>
              <w:rPr/>
              <w:t>.</w:t>
            </w:r>
          </w:p>
        </w:tc>
      </w:tr>
    </w:tbl>
    <w:p>
      <w:pPr>
        <w:pStyle w:val="TextBody"/>
        <w:bidi w:val="0"/>
        <w:spacing w:before="0" w:after="0"/>
        <w:ind w:left="0" w:right="0" w:firstLine="144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56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4.2.8.</w:t>
            </w:r>
          </w:p>
        </w:tc>
        <w:tc>
          <w:tcPr>
            <w:tcW w:w="1130" w:type="dxa"/>
            <w:tcBorders/>
            <w:vAlign w:val="center"/>
          </w:tcPr>
          <w:p>
            <w:pPr>
              <w:pStyle w:val="TableContents"/>
              <w:bidi w:val="0"/>
              <w:spacing w:before="0" w:after="283"/>
              <w:jc w:val="both"/>
              <w:rPr/>
            </w:pPr>
            <w:r>
              <w:rPr>
                <w:u w:val="single"/>
              </w:rPr>
              <w:t>[Reserved]</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56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4.2.9.</w:t>
            </w:r>
          </w:p>
        </w:tc>
        <w:tc>
          <w:tcPr>
            <w:tcW w:w="1130" w:type="dxa"/>
            <w:tcBorders/>
            <w:vAlign w:val="center"/>
          </w:tcPr>
          <w:p>
            <w:pPr>
              <w:pStyle w:val="TableContents"/>
              <w:bidi w:val="0"/>
              <w:spacing w:before="0" w:after="283"/>
              <w:jc w:val="both"/>
              <w:rPr/>
            </w:pPr>
            <w:r>
              <w:rPr>
                <w:u w:val="single"/>
              </w:rPr>
              <w:t>[Reserved]</w:t>
            </w:r>
            <w:r>
              <w:rPr/>
              <w:t>.</w:t>
            </w:r>
          </w:p>
        </w:tc>
      </w:tr>
    </w:tbl>
    <w:p>
      <w:pPr>
        <w:pStyle w:val="TextBody"/>
        <w:bidi w:val="0"/>
        <w:spacing w:before="0" w:after="0"/>
        <w:ind w:left="0" w:right="0" w:firstLine="1440"/>
        <w:jc w:val="left"/>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68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4.2.10.</w:t>
            </w:r>
          </w:p>
        </w:tc>
        <w:tc>
          <w:tcPr>
            <w:tcW w:w="1130" w:type="dxa"/>
            <w:tcBorders/>
            <w:vAlign w:val="center"/>
          </w:tcPr>
          <w:p>
            <w:pPr>
              <w:pStyle w:val="TableContents"/>
              <w:bidi w:val="0"/>
              <w:spacing w:before="0" w:after="283"/>
              <w:jc w:val="both"/>
              <w:rPr/>
            </w:pPr>
            <w:r>
              <w:rPr>
                <w:u w:val="single"/>
              </w:rPr>
              <w:t>[Reserved]</w:t>
            </w:r>
            <w:r>
              <w:rPr/>
              <w:t>.</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4.3.1. </w:t>
      </w:r>
      <w:r>
        <w:rPr>
          <w:rFonts w:ascii="Times New Roman;Times;Serif" w:hAnsi="Times New Roman;Times;Serif"/>
          <w:b w:val="false"/>
          <w:i w:val="false"/>
          <w:caps w:val="false"/>
          <w:smallCaps w:val="false"/>
          <w:sz w:val="20"/>
          <w:u w:val="single"/>
        </w:rPr>
        <w:t>Cold Comfort Letter</w:t>
      </w:r>
      <w:r>
        <w:rPr>
          <w:rFonts w:ascii="Times New Roman;Times;Serif" w:hAnsi="Times New Roman;Times;Serif"/>
          <w:b w:val="false"/>
          <w:i w:val="false"/>
          <w:caps w:val="false"/>
          <w:smallCaps w:val="false"/>
          <w:sz w:val="20"/>
        </w:rPr>
        <w:t>. At the time this Agreement is executed, the Underwriter shall have received a cold comfort letter from the Auditor containing statements and information of the type customarily included in accountants’ comfort letters with respect to the financial statements and certain financial information contained in the Registration Statement, the Pricing Disclosure Package and the Prospectus, addressed to the Underwriter and in form and substance satisfactory to the Underwriter’s Counsel, dated as of the date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4.3.2. </w:t>
      </w:r>
      <w:r>
        <w:rPr>
          <w:rFonts w:ascii="Times New Roman;Times;Serif" w:hAnsi="Times New Roman;Times;Serif"/>
          <w:b w:val="false"/>
          <w:i w:val="false"/>
          <w:caps w:val="false"/>
          <w:smallCaps w:val="false"/>
          <w:sz w:val="20"/>
          <w:u w:val="single"/>
        </w:rPr>
        <w:t>Bring-down Comfort Letter</w:t>
      </w:r>
      <w:r>
        <w:rPr>
          <w:rFonts w:ascii="Times New Roman;Times;Serif" w:hAnsi="Times New Roman;Times;Serif"/>
          <w:b w:val="false"/>
          <w:i w:val="false"/>
          <w:caps w:val="false"/>
          <w:smallCaps w:val="false"/>
          <w:sz w:val="20"/>
        </w:rPr>
        <w:t>. At each of the Closing Date, the Underwriter shall have received from the Auditor a letter, dated as of the Closing Date, to the effect that the Auditor reaffirms the statements made in the letter furnished pursuant to Section 4.3.1, except that the specified date referred to shall be a date not more than three (3) Business Days prior to the Closing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25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Officers’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The Company shall have furnished to the Underwriter a certificate, dated the Closing Date, of its Chief Executive Officer and its Chief Financial Officer stating on behalf of the Company and not in an individual capacity that (i) such officers have carefully examined the Registration Statement, the Pricing Disclosure Package, any Issuer Free Writing Prospectus and the Prospectus and, they believe that the Registration Statement and each amendment thereto after the Effective Date, as of the Applicable Time and as of the Closing Date did not include any untrue statement of a material fact and did not omit to state a material fact required to be stated therein or necessary to make the statements therein, in light of the circumstances under which they were made, not misleading, and the Pricing Disclosure Package, as of the Applicable Time and as of the Closing Date, any Issuer Free Writing Prospectus as of its date and as of the Closing Date, the Prospectus and each amendment or supplement thereto after the Effective Date, as of the respective date thereof and as of the Closing Date, did not include any untrue statement of a material fact and did not omit to state a material fact necessary in order to make the statements therein, in the light of the circumstances under which they were made, not misleading, (ii) since the effective date of the Registration Statement, no event has occurred which should have been set forth in a supplement or amendment to the Registration Statement, the Pricing Disclosure Package or the Prospectus, (iii) to the best of their knowledge after reasonable investigation, as of the Closing Date, the representations and warranties of the Company in this Agreement are true and correct and the Company has complied with all agreements and satisfied all conditions on its part to be performed or satisfied hereunder at or prior to the Closing Date, and (iv) there has not been, subsequent to the date of the most recent audited financial statements included in the Pricing Disclosure Package, a Material Adverse Change.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At each of the Closing Date, if any, the Underwriter shall have received a certificate of the Company signed by the Secretary of the Company, dated the Closing Date, certifying on behalf of the Company and not in an individual capacity: (i) that each of the Charter and Articles of Association is true and complete, has not been amended or modified and is in full force and effect; (ii) that the resolutions of the Board relating to the Offering are in full force and effect and have not been modified or rescinded; and (iii) as to the incumbency of the officers of the Company who have signed the certificates set forth in Section 4.4.1. The documents referred to in such certificate shall be attached thereto.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4.4.3. </w:t>
      </w:r>
      <w:r>
        <w:rPr>
          <w:rFonts w:ascii="Times New Roman;Times;Serif" w:hAnsi="Times New Roman;Times;Serif"/>
          <w:b w:val="false"/>
          <w:i w:val="false"/>
          <w:caps w:val="false"/>
          <w:smallCaps w:val="false"/>
          <w:sz w:val="20"/>
          <w:u w:val="single"/>
        </w:rPr>
        <w:t>Chief Financial Officer’s Certificate</w:t>
      </w:r>
      <w:r>
        <w:rPr>
          <w:rFonts w:ascii="Times New Roman;Times;Serif" w:hAnsi="Times New Roman;Times;Serif"/>
          <w:b w:val="false"/>
          <w:i w:val="false"/>
          <w:caps w:val="false"/>
          <w:smallCaps w:val="false"/>
          <w:sz w:val="20"/>
        </w:rPr>
        <w:t>. On the Closing Date, the Company shall furnish to the Underwriter a certificate of the Company’s chief financial officer, dated the respective dates of their delivery and signed by the Chief Financial Officer and addressed to the Underwriter, with respect to certain operating and financial data contained in each of the Registration Statement, the Pricing Disclosure Package and the Prospectus, providing “management comfort” with respect to such information, in form and substance reasonably satisfactory to the Underwriter.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 Material Changes</w:t>
      </w:r>
      <w:r>
        <w:rPr>
          <w:rFonts w:ascii="Times New Roman;Times;Serif" w:hAnsi="Times New Roman;Times;Serif"/>
          <w:b w:val="false"/>
          <w:i w:val="false"/>
          <w:caps w:val="false"/>
          <w:smallCaps w:val="false"/>
          <w:sz w:val="20"/>
        </w:rPr>
        <w:t>. Prior to and on each of the Closing Date: (i) there shall have been no Material Adverse Change in the condition, financial or otherwise, business or prospects of the Company from the date of this Agreement; (ii) no action, suit or proceeding, at law or in equity, shall have been pending or threatened against the Company or any Insider before or by any court or federal or state commission, board or other administrative agency wherein an unfavorable decision, ruling or finding may be expected to cause a Material Adverse Change, except as set forth in the Registration Statement, the Pricing Disclosure Package and the Prospectus; (iii) no stop order shall have been issued by the Commission under the Securities Act and no proceedings therefor shall have been initiated or threatened by the Commission; and (iv) the Registration Statement, the Pricing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Pricing Disclosure Package nor the Prospectus nor any amendment or supplement thereto shall contain any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No Material Misstatement or Omission</w:t>
      </w:r>
      <w:r>
        <w:rPr>
          <w:rFonts w:ascii="Times New Roman;Times;Serif" w:hAnsi="Times New Roman;Times;Serif"/>
          <w:b w:val="false"/>
          <w:i w:val="false"/>
          <w:caps w:val="false"/>
          <w:smallCaps w:val="false"/>
          <w:sz w:val="20"/>
        </w:rPr>
        <w:t>. The Underwriter shall not have discovered and disclosed to the Company on or prior to the Closing Date that the Registration Statement or any amendment or supplement thereto contains an untrue statement of a fact which, in the opinion of Underwriter’s Counsel, is material or omits to state any fact which, in the opinion of Underwriter’s Counsel, is material and is required to be stated therein or is necessary to make the statements therein, in the light of the circumstances under which they were made, not misleading, or that the Registration Statement, the Pricing Disclosure Package, any Issuer Free Writing Prospectus or the Prospectus or any amendment or supplement thereto contains an untrue statement of fact which, in the opinion of Underwriter’s Counsel, is material or omits to state any fact which, in the opinion of Underwriter’s Counsel, is material and is necessary in order to make the statements, in the light of the circumstances under which they were made, not misleading.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Corporate Proceedings</w:t>
      </w:r>
      <w:r>
        <w:rPr>
          <w:rFonts w:ascii="Times New Roman;Times;Serif" w:hAnsi="Times New Roman;Times;Serif"/>
          <w:b w:val="false"/>
          <w:i w:val="false"/>
          <w:caps w:val="false"/>
          <w:smallCaps w:val="false"/>
          <w:sz w:val="20"/>
        </w:rPr>
        <w:t>. All corporate proceedings and other legal matters incident to the authorization, form and validity of each of this Agreement, the Public Securities, the Registration Statement, the Pricing Disclosure Package, each Issuer Free Writing Prospectus, if any, and the Prospectus and all other legal matters relating to this Agreement and the transactions contemplated hereby and thereby shall be reasonably satisfactory in all material respects to Underwriter’s Counsel, and the Company shall have furnished to Underwriter’s Counsel all documents and information that Underwriter’s Counsel may reasonably request to enable it to pass upon such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Delivery of Lock-Up Agreements</w:t>
      </w:r>
      <w:r>
        <w:rPr>
          <w:rFonts w:ascii="Times New Roman;Times;Serif" w:hAnsi="Times New Roman;Times;Serif"/>
          <w:b w:val="false"/>
          <w:i w:val="false"/>
          <w:caps w:val="false"/>
          <w:smallCaps w:val="false"/>
          <w:sz w:val="20"/>
        </w:rPr>
        <w:t>. On or before the date of this Agreement, the Company shall have delivered to the Underwriter executed copies of the Lock-Up Agreements from each of the persons listed in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Additional Documents</w:t>
      </w:r>
      <w:r>
        <w:rPr>
          <w:rFonts w:ascii="Times New Roman;Times;Serif" w:hAnsi="Times New Roman;Times;Serif"/>
          <w:b w:val="false"/>
          <w:i w:val="false"/>
          <w:caps w:val="false"/>
          <w:smallCaps w:val="false"/>
          <w:sz w:val="20"/>
        </w:rPr>
        <w:t>. At the Closing Date, Underwriter’s Counsel shall have been furnished with such documents as it may require for the purpose of enabling Underwriter’s Counsel to deliver an opinion to the Underwriter, or in order to evidence the accuracy of any of the representations or warranties, or the fulfillment of any of the conditions, herein contained; and all proceedings taken by the Company in connection with the issuance and sale of the Public Securities as herein contemplated shall be satisfactory in customary form and reasonably acceptable to Underwriter’s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tab/>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Indemnification of the Underwriter.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Company shall indemnify and hold harmless the Underwriter, its affiliates and each of its respective directors, officers, members, employees, representatives, partners, shareholders, affiliates, counsel and agents and each person, if any, who controls the Underwriter within the meaning of Section 15 of the Securities Act or Section 20 of the Exchange Act (collectively the “</w:t>
      </w:r>
      <w:r>
        <w:rPr>
          <w:rFonts w:ascii="Times New Roman;Times;Serif" w:hAnsi="Times New Roman;Times;Serif"/>
          <w:b/>
          <w:i w:val="false"/>
          <w:caps w:val="false"/>
          <w:smallCaps w:val="false"/>
          <w:sz w:val="20"/>
        </w:rPr>
        <w:t>Underwriter Indemnified Parties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rPr>
        <w:t>Underwriter Indemnified Party</w:t>
      </w:r>
      <w:r>
        <w:rPr>
          <w:rFonts w:ascii="Times New Roman;Times;Serif" w:hAnsi="Times New Roman;Times;Serif"/>
          <w:b w:val="false"/>
          <w:i w:val="false"/>
          <w:caps w:val="false"/>
          <w:smallCaps w:val="false"/>
          <w:sz w:val="20"/>
        </w:rPr>
        <w:t>”), against any and all loss, liability, claim, damage and expense whatsoever (including but not limited to any and all legal or other expenses reasonably incurred in investigating, preparing or defending against any litigation, commenced or threatened, or any claim whatsoever, between any of the Underwriter Indemnified Parties and any third party, or otherwise) to which they or any of them may become subject under the Securities Act, the Exchange Act or any other statute or at common law or otherwise or under the laws of foreign countries, arising out of or based upon any untrue statement or alleged untrue statement of a material fact contained in (i) the Registration Statement, the Pricing Disclosure Package, the Preliminary Prospectus, the Prospectus or any Issuer Free Writing Prospectus (as from time to time each may be amended and supplemented); (ii) any materials or information provided to investors by, or with the approval of, the Company in connection with the marketing of the Offering, including any “road show” or investor presentations made to investors by the Company (whether in person or electronically); or (iii) any application or other document or written communication (in this Section 5, collectively called “</w:t>
      </w:r>
      <w:r>
        <w:rPr>
          <w:rFonts w:ascii="Times New Roman;Times;Serif" w:hAnsi="Times New Roman;Times;Serif"/>
          <w:b/>
          <w:i w:val="false"/>
          <w:caps w:val="false"/>
          <w:smallCaps w:val="false"/>
          <w:sz w:val="20"/>
        </w:rPr>
        <w:t>application</w:t>
      </w:r>
      <w:r>
        <w:rPr>
          <w:rFonts w:ascii="Times New Roman;Times;Serif" w:hAnsi="Times New Roman;Times;Serif"/>
          <w:b w:val="false"/>
          <w:i w:val="false"/>
          <w:caps w:val="false"/>
          <w:smallCaps w:val="false"/>
          <w:sz w:val="20"/>
        </w:rPr>
        <w:t>”) executed by the Company or based upon written information furnished by the Company in any jurisdiction in order to qualify the Public Securities under the securities laws thereof or filed with the Commission, any state securities commission or agency, the Exchange or any other national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Underwriter’s Information. With respect to any untrue statement or omission or alleged untrue statement or omission made in the Registration Statement, the Pricing Disclosure Package, the Preliminary Prospectus, the Prospectus or any Issuer Free Writing Prospectus, the indemnity provisions of this Section 5.1.1 shall not inure to the benefit of the Underwriter Indemnified Party to the extent that any loss, liability, claim, damage or expense of the Underwriter Indemnified Party results from the fact that a copy of the Prospectus was not given or sent to the person asserting any such loss, liability, claim or damage at or prior to the written confirmation of sale of the Public Securities to such person as required by the Securities Act and the Securities Act Regulations, and if the untrue statement or omission has been corrected in the Prospectus, unless such failure to deliver the Prospectus was a result of non-compliance by the Company with its obligations under Section 3.4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If any action is brought against an Underwriter Indemnified Party in respect of which indemnity may be sought against the Company pursuant to Section 5.1.1, the Underwriter Indemnified Party shall promptly notify the Company in writing of the institution of such action and the Company shall be entitled to participate therein and, to the extent that it wishes, jointly with the Company, to assume the defense of such action, including the employment and fees of counsel (subject to the reasonable approval of the Underwriter Indemnified Party) and payment of actual expenses. The Underwriter Indemnified Party shall have the right to employ its own counsel in any such case, but the fees and expenses of such counsel shall be at the expense of the Underwriter Indemnified Party unless (i) the employment of such counsel at the expense of the Company shall have been authorized in writing by the Company in connection with the defense of such action, or (ii) the Company shall not have employed counsel to have charge of the defense of such action, or (iii) such Underwriter Indemnified Party or Underwriter Indemnified Parties shall have been advised by its counsel that there may be defenses available to it or them which are different from or additional to those available to the Company (in which case the Company shall not have the right to direct the defense of such action on behalf of the Underwriter Indemnified Party or Underwriter Indemnified Parties), in any of which events the reasonable fees and expenses of not more than one additional firm of attorneys selected by the Underwriter Indemnified Parties who are party to such action (in addition to local counsel) shall be borne by the Company. Notwithstanding anything to the contrary contained herein, if the Underwriter Indemnified Party shall assume the defense of such action as provided above, the Company shall have the right to approve the terms of any settlement of such action, which approval shall not be unreasonably withheld.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Indemnification of the Company</w:t>
      </w:r>
      <w:r>
        <w:rPr>
          <w:rFonts w:ascii="Times New Roman;Times;Serif" w:hAnsi="Times New Roman;Times;Serif"/>
          <w:b w:val="false"/>
          <w:i w:val="false"/>
          <w:caps w:val="false"/>
          <w:smallCaps w:val="false"/>
          <w:sz w:val="20"/>
        </w:rPr>
        <w:t>. The Underwriter shall indemnify and hold harmless the Company, its directors, its officers and persons who control the Company within the meaning of Section 15 of the Securities Act or Section 20 of the Exchange Act against any and all loss, liability, claim, damage and expense described in the foregoing indemnity from the Company to the several Underwriter, as incurred, but only with respect to such losses, liabilities, claims, damages and expenses (or actions in respect thereof) which arise out of or are based upon untrue statements or omissions made in the Registration Statement, any Preliminary Prospectus, the Pricing Disclosure Package or Prospectus or any amendment or supplement thereto or in any application, in reliance upon, and in strict conformity with, the Underwriter’s Information. In case any action shall be brought against the Company or any other person so indemnified based on any Preliminary Prospectus, the Registration Statement, the Pricing Disclosure Package or Prospectus or any amendment or supplement thereto or any application, and in respect of which indemnity may be sought against the Underwriter, the Underwriter shall have the rights and duties given to the Company, and the Company and each other person so indemnified shall have the rights and duties given to the Underwriter by the provisions of Section 5.1.2. The Company agrees promptly to notify the Underwriter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Public Securities or in connection with the Registration Statement, the Pricing Disclosure Package, the Prospectus or any Issuer Free Writing Prospectus.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5.3.1. </w:t>
      </w:r>
      <w:r>
        <w:rPr>
          <w:rFonts w:ascii="Times New Roman;Times;Serif" w:hAnsi="Times New Roman;Times;Serif"/>
          <w:b w:val="false"/>
          <w:i w:val="false"/>
          <w:caps w:val="false"/>
          <w:smallCaps w:val="false"/>
          <w:sz w:val="20"/>
          <w:u w:val="single"/>
        </w:rPr>
        <w:t>Contribution Rights</w:t>
      </w:r>
      <w:r>
        <w:rPr>
          <w:rFonts w:ascii="Times New Roman;Times;Serif" w:hAnsi="Times New Roman;Times;Serif"/>
          <w:b w:val="false"/>
          <w:i w:val="false"/>
          <w:caps w:val="false"/>
          <w:smallCaps w:val="false"/>
          <w:sz w:val="20"/>
        </w:rPr>
        <w:t xml:space="preserve">. If the indemnification provided for in this Section 5 shall for any reason be unavailable to or insufficient to hold harmless an indemnified party under Section 5.1 or 5.2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 on the other hand, from the Offering, or (ii) if the allocation provided by clause (i) above is not permitted by applicable law, in such proportion as is appropriate to reflect not only the relative benefits referred to in clause (i) above but also the relative fault of the Company, on the one hand, and the Underwriter, on the other, with respect to the statements or omissions that resulted in such loss, claim, damage or liability, or action in respect thereof, as well as any other relevant equitable considerations. The relative benefits received by the Company, on the one hand, and the Underwriter, on the other, with respect to such Offering shall be deemed to be in the same proportion as the total proceeds from the Offering purchased under this Agreement (before deducting expenses) received by the Company bear to the total underwriting discount and commissions received by the Underwriter in connection with the Offering, in each case as set forth in the table on the cover page of the Prospectus. The relative fault of the Company, on the one hand, and the Underwriter, on the other, shall be determined by reference to, among other things, whether the untrue or alleged untrue statement of a material fact or the omission or alleged omission to state a material fact relates to information supplied by the Company, on the one hand, or the Underwriter, on the other, the intent of the Parties and their relative knowledge, access to information and opportunity to correct or prevent such untrue statement, omission, act or failure to act,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Parties agree that the written information furnished to the Company through the Underwriter by or on behalf of the Underwriter for use in any Preliminary Prospectus, any Registration Statement or the Prospectus, or in any amendment or supplement thereto, consists solely of the Underwriter’s Information. The Parties agree that they would not be just and equitable if contributions pursuant to this Section 5.3.1 were to be determined by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or by any other method of allocation that does not take into account the equitable considerations referred to in this Section 5.3.1. The amount paid or payable by an indemnified party as a result of the loss, claim, damage, expense, liability, action, investigation or proceeding referred to above in this Section 5.3.1 shall be deemed to include, for purposes of this Section 5.3.1,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5.3.1, the Underwriter shall not be required to contribute any amount in excess of the total discount and commission received by the Underwriter in connection with the Offering. 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5.3.2. </w:t>
      </w:r>
      <w:r>
        <w:rPr>
          <w:rFonts w:ascii="Times New Roman;Times;Serif" w:hAnsi="Times New Roman;Times;Serif"/>
          <w:b w:val="false"/>
          <w:i w:val="false"/>
          <w:caps w:val="false"/>
          <w:smallCaps w:val="false"/>
          <w:sz w:val="20"/>
          <w:u w:val="single"/>
        </w:rPr>
        <w:t>Contribution Procedure</w:t>
      </w:r>
      <w:r>
        <w:rPr>
          <w:rFonts w:ascii="Times New Roman;Times;Serif" w:hAnsi="Times New Roman;Times;Serif"/>
          <w:b w:val="false"/>
          <w:i w:val="false"/>
          <w:caps w:val="false"/>
          <w:smallCaps w:val="false"/>
          <w:sz w:val="20"/>
        </w:rPr>
        <w:t>. Within fifteen (15) calendar days after receipt by any Party to this Agreement (or its representative) of notice of the commencement of any action, suit or proceeding, such Party (“</w:t>
      </w:r>
      <w:r>
        <w:rPr>
          <w:rFonts w:ascii="Times New Roman;Times;Serif" w:hAnsi="Times New Roman;Times;Serif"/>
          <w:b/>
          <w:i w:val="false"/>
          <w:caps w:val="false"/>
          <w:smallCaps w:val="false"/>
          <w:sz w:val="20"/>
        </w:rPr>
        <w:t>Notifying Party</w:t>
      </w:r>
      <w:r>
        <w:rPr>
          <w:rFonts w:ascii="Times New Roman;Times;Serif" w:hAnsi="Times New Roman;Times;Serif"/>
          <w:b w:val="false"/>
          <w:i w:val="false"/>
          <w:caps w:val="false"/>
          <w:smallCaps w:val="false"/>
          <w:sz w:val="20"/>
        </w:rPr>
        <w:t>”) will, if a claim for contribution in respect thereof is to be made against another party (“</w:t>
      </w:r>
      <w:r>
        <w:rPr>
          <w:rFonts w:ascii="Times New Roman;Times;Serif" w:hAnsi="Times New Roman;Times;Serif"/>
          <w:b/>
          <w:i w:val="false"/>
          <w:caps w:val="false"/>
          <w:smallCaps w:val="false"/>
          <w:sz w:val="20"/>
        </w:rPr>
        <w:t>Contributing Party</w:t>
      </w:r>
      <w:r>
        <w:rPr>
          <w:rFonts w:ascii="Times New Roman;Times;Serif" w:hAnsi="Times New Roman;Times;Serif"/>
          <w:b w:val="false"/>
          <w:i w:val="false"/>
          <w:caps w:val="false"/>
          <w:smallCaps w:val="false"/>
          <w:sz w:val="20"/>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Notifying Party, and such Notifying Party notifies a Contributing Party of the commencement thereof within the aforesaid fifteen (15) calendar days, the Contributing Party will be entitled to participate therein with the Notifying Party and any other Contributing Party similarly notified. Any such Contributing Party shall not be liable to any Notifying Party seeking contribution on account of any settlement of any claim, action or proceeding effected by such Notifying Party seeking contribution without the written consent of such Contributing Party. The contribution provisions contained in this Section 5.3.2 are intended to supersede, to the extent permitted by law, any right to contribution under the Securities Act, the Exchange Act or otherwise available.</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bdr w:val="single" w:sz="12" w:space="1" w:color="000000"/>
        </w:rPr>
      </w:pPr>
      <w:r>
        <w:rPr>
          <w:bdr w:val="single" w:sz="12" w:space="1" w:color="000000"/>
        </w:rPr>
        <w:t>29</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Default by the Underwriter</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Default in Purchase of Public Securities</w:t>
      </w:r>
      <w:r>
        <w:rPr>
          <w:rFonts w:ascii="Times New Roman;Times;Serif" w:hAnsi="Times New Roman;Times;Serif"/>
          <w:b w:val="false"/>
          <w:i w:val="false"/>
          <w:caps w:val="false"/>
          <w:smallCaps w:val="false"/>
          <w:sz w:val="20"/>
        </w:rPr>
        <w:t xml:space="preserve">. If the Underwriter shall default in its obligation to purchase the Firm Securities, the Underwriter may, in its discretion, arrange for itself or for another party or parties to purchase such Firm Securities to which such default relates on the terms contained herein. If, (i) in the case of a default in less than 10% of the aggregate number of Public Securities the Underwriter agreed to purchase, within one (1) Business Day after such default or (ii) in the case of a default of 10% or more of the aggregate number of Public Securities, within three (3) Business Days after such default, the Underwriter does not arrange for the purchase of such Firm Securities, then the Company shall be entitled to a further period of one (1) Business Day within which to procure another party or parties satisfactory to the Underwriter to purchase said Firm Securities on such terms. In the event that neither of the Parties arranges for the purchase of the Firm Securities to which a default relates as provided in this Section 6, this Agreement will automatically be terminated by either Party without liability on the part of the Company (except as provided in Sections 9.4 and 9.5 hereof);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herein shall relieve the Underwriter of its liability, to the Company for damages occasioned by its default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tab/>
      </w:r>
      <w:r>
        <w:rPr>
          <w:rFonts w:ascii="Times New Roman;Times;Serif" w:hAnsi="Times New Roman;Times;Serif"/>
          <w:b w:val="false"/>
          <w:i w:val="false"/>
          <w:caps w:val="false"/>
          <w:smallCaps w:val="false"/>
          <w:sz w:val="20"/>
          <w:u w:val="single"/>
        </w:rPr>
        <w:t>Additional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Board Composition and Board Designations</w:t>
      </w:r>
      <w:r>
        <w:rPr>
          <w:rFonts w:ascii="Times New Roman;Times;Serif" w:hAnsi="Times New Roman;Times;Serif"/>
          <w:b w:val="false"/>
          <w:i w:val="false"/>
          <w:caps w:val="false"/>
          <w:smallCaps w:val="false"/>
          <w:sz w:val="20"/>
        </w:rPr>
        <w:t>. The Company shall ensure that: (i) the qualifications of the persons serving as members of the Board and the overall composition of the Board comply with the Sarbanes-Oxley Act, the Exchange Act and the listing rules of the Exchange or any other national securities exchange, as the case may be, in the event the Company seeks to have its Public securities listed on another exchange or quoted on an automated quotation system, and (ii) if applicable, at least one member of the Audit Committee qualifies as an “audit committee financial expert,” as such term is defined under Regulation S-K and the listing rules of the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Prohibition on Press Releases and Public Announcements</w:t>
      </w:r>
      <w:r>
        <w:rPr>
          <w:rFonts w:ascii="Times New Roman;Times;Serif" w:hAnsi="Times New Roman;Times;Serif"/>
          <w:b w:val="false"/>
          <w:i w:val="false"/>
          <w:caps w:val="false"/>
          <w:smallCaps w:val="false"/>
          <w:sz w:val="20"/>
        </w:rPr>
        <w:t>. Except as required by law or rule of Nasdaq, the Company shall not issue press releases or engage in any other publicity, without the Underwriter’s prior written consent, for a period ending at 5:00 p.m., Eastern time,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Business Day following the fortieth (40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Closing Date, other than normal and customary releases issued in the ordinary course of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tab/>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From and after the date of this Agreement, each Party agrees to: (i) maintain the other Party’s Confidential Information (as defined below) in strict confidence; (ii) direct such Party’s respective agents, representatives, or advisors, not to disclose or use any Confidential Information to the detriment of the disclosing Party; (iii) not disclose Confidential Information to any third parties; and (iv) not use any Confidential Information for any purpose except to consummate the Offering and perform such Party’s obligations under this Agreement. Each Party may disclose the Confidential Information of the other Party to the other Party’s agents, representatives, or advisors who have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need to know such Confidential Information for the purpose of consummating the Offering and performing such other Party’s obligations under this Agreement, but solely to such necessary extent and for no other purpose. The provisions of this Section 8 do not restrict a Party from disclosing the other Party’s Confidential Information to the extent required by any applicable law;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Party required to make such disclosure (i) gives the other Party prompt written notice thereof so that such other Party may seek an appropriate protective order or other remedy and/or waive compliance with the provisions of this Section 8, if applicable, (ii) cooperate with such other Party to obtain such protective order or other remedy, if applicable, (iii) furnish only that portion of the Confidential Information which is legally required to be disclosed and (iv) if such protective order or other remedy is not obtained or such other Party waives compliance with the provisions of this Section 8, use reasonable efforts to obtain assurances that confidential treatment will be accorded to such Confidential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means: (i) all trade secrets or confidential or proprietary information designated as such in writing by the disclosing Party, whether by letter or by the use of an appropriate proprietary stamp or legend, prior to or at the time any such trade secret or confidential or proprietary information is disclosed by the disclosing Party to the recipient Party or the recipient Party’s representatives; or (ii) information disclosed orally, visually, or in writing to the recipient by the disclosing Party and is received under circumstances, or is of such nature, that the recipient Party or the recipient Party’s representative knows or should reasonably be expected to understand the confidential and proprietary nature of such information. In addition, the term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includes (x) any notes, analyses, compilations, studies, interpretations, memoranda, or other documents prepared by the recipient Party or the recipient Party’s representatives which contain, reflect, or are based upon, in whole or in part, any Confidential Information furnished to the recipient Party or the recipient Party’s representatives pursuant to this Agreement; and (y) the existence or status of, and any information concerning, the discussions between the Parties concerning Purchaser’s the Offering and this Agreement or the possible establishment of a business relationship. Confidential Information does not include information which: (1) is in the public domain as of the date hereof or hereafter enters the public domain without a breach by the recipient Party, (2) was known or became known by the recipient Party prior to the disclosing Party or the disclosing Party’s representative or advisors’ disclosure thereof to the recipient Party as demonstrated by the existence of the recipient Party’s written records, (3) becomes known to the recipient Party from a source other than the disclosing Party, which information is not provided by the breach of an obligation of confidentiality owed to the disclosing Party, (4) is disclosed by the disclosing Party to a third party without restrictions on its disclosure or (5) is independently developed by the recipient Party without any use of or reliance on any information of the disclosing Party. For the avoidance of doubt, except as otherwise provided herein, all information which is not publicly available relating to the Company’s proprietary technology is proprietary and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Effective Date of this Agreement and Termination Thereof</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This Agreement shall become effective when each Party has executed the same and delivered counterparts of its signature to the other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Underwriter may terminate this Agreement at any time prior to any Closing Date, (i) if any domestic or international event or act or occurrence has materially disrupted, or in the Underwriter’s opinion will in the immediate future materially disrupt, general securities markets in the United States; or (ii) if trading generally on the New York Stock Exchange or the Nasdaq Stock Market LLC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escalation in major hostilities; or (iv) if a banking moratorium has been declared by a New York State or federal authority; or (v) regulatory approval (including but not limited to Nasdaq approval) for the Offering is denied, conditioned or modified and as a result it makes it impracticable for the Underwriter to proceed with the Offering and/or delivery of the Public Securities or to enforce contracts for the sale of the Public Securities, or (vi) if a moratorium on foreign exchange trading has been declared which materially adversely impacts the United States securities markets; or (vii) if the Company shall have sustained a material loss by fire, flood, accident, hurricane, earthquake, theft, sabotage or other calamity or malicious act which, whether or not such loss shall have been insured, will, in the Underwriter’s opinion, make it inadvisable to proceed with the delivery of the Firm Shares; or (viii) if the Company is in material breach of any of its representations, warranties or covenants hereunder; or (ix) if the Underwriter shall have become aware after the date of this Agreement of a Material Adverse Change, or an adverse material change in general market conditions as in the Underwriter’s judgment would make it impracticable to proceed with the Offering and/or delivery of the Public Securities or to enforce contracts made by the Underwriter for the sale of the Public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Notwithstanding anything to the contrary in this Agreement, except in the case of a default by the Underwriter pursuant to Section 6.1 above, in the event that this Agreement shall not be carried out for any reason whatsoever, within the time specified herein or any extensions thereof pursuant to the terms herein, the Company shall be obligated to pay to the Underwriter its actual and reasonable out-of-pocket expenses related to the transactions contemplated herein then due and payable, including but not limited to reasonable and documented travel, lodging, legal fees (including all reasonable fees and disbursements of Underwriter’s Counsel in all relevant jurisdictions), due diligence fees (including for background checks of the Company’s officers and directors), and other expenses and disbursements incurred in connection with the Underwriter’s services for the purpose of the Offering,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aggregate amount of such reimbursable expenses shall not exceed $250,000 and shall be reduced by amounts previously advanced to the Underwriter (if any) and/or any amounts previously paid to the Underwriter in reimbursement for such expenses. Upon the Underwriter’s demand, the Company shall pay the full amount of such expenses to the Underwriter and the Underwriter shall return any portion of such advance not used to pay its accountable out-of-pocket expenses actually incurred;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expense limit in no way limits or impairs the indemnification and contribution provisions of this Agreement.</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Survival of Indemnification</w:t>
      </w:r>
      <w:r>
        <w:rPr>
          <w:rFonts w:ascii="Times New Roman;Times;Serif" w:hAnsi="Times New Roman;Times;Serif"/>
          <w:b w:val="false"/>
          <w:i w:val="false"/>
          <w:caps w:val="false"/>
          <w:smallCaps w:val="false"/>
          <w:sz w:val="20"/>
        </w:rPr>
        <w:t>. Notwithstanding any contrary provision contained in this Agreement, any election hereunder or any termination of this Agreement, and whether or not this Agreement is otherwise carried out, the provisions of Section 5 shall remain in full force and effect and shall not be in any way affected by, such election or termination or failure to carry out the terms of this Agreement or any part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Representations, Warranties, Agreements to Survive</w:t>
      </w:r>
      <w:r>
        <w:rPr>
          <w:rFonts w:ascii="Times New Roman;Times;Serif" w:hAnsi="Times New Roman;Times;Serif"/>
          <w:b w:val="false"/>
          <w:i w:val="false"/>
          <w:caps w:val="false"/>
          <w:smallCaps w:val="false"/>
          <w:sz w:val="20"/>
        </w:rPr>
        <w:t>. All representations, warranties and agreements contained in this Agreement (except for Section 6.1) or in certificates of officers of the Company submitted pursuant hereto, shall remain operative and in full force and effect regardless of (i) any investigation made by or on behalf of the Underwriter or its affiliates or selling agents, any person controlling the Underwriter, its officers or directors or any person controlling the Company or (ii) delivery of and payment for the Public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tab/>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except as herein otherwise specifically provided, shall be in writing and shall be mailed (registered or certified mail, return receipt requested), personally delivered or sent by facsimile transmission and confirmed and shall be deemed given when so delivered or faxed and confirmed or if mailed, two (2) days after such mailing.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Underwriter: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Eddid Securities USA Inc.</w:t>
        <w:br/>
        <w:t>11 Broadyway, Suite 801,</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Attention: Tom Li</w:t>
        <w:br/>
        <w:t>Email: tli@eddidusa.com</w:t>
      </w:r>
    </w:p>
    <w:p>
      <w:pPr>
        <w:pStyle w:val="TextBody"/>
        <w:bidi w:val="0"/>
        <w:spacing w:before="0" w:after="0"/>
        <w:ind w:left="980" w:right="0" w:firstLine="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Sichenzia Ross Ference Carmel LLP</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Barry P. Biggar</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bbiggar@srfc.law</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Holdings Ltd</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Suntech Tower 3</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Temasek Boulevard #24-03</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38988</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William Soon Huat Lim</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william.lim@tridentity.me</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One Pacific Place</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Queensway Hong Kong</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Stephanie Tang</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Stephanie.tang@hoganlovells.com</w:t>
      </w:r>
    </w:p>
    <w:p>
      <w:pPr>
        <w:pStyle w:val="TextBody"/>
        <w:bidi w:val="0"/>
        <w:spacing w:before="0" w:after="0"/>
        <w:ind w:left="117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in this Agreement are for the sole purpose of convenience of reference, and shall not in any way limit or affect the meaning or interpretation of any of the terms or provisions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only be amended by a written instrument executed by each Party.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other agreements and documents being delivered pursuant to or in connection with this Agreement) constitutes the entire agreement of the Parties with respect to the subject matter hereof and thereof, and supersedes all prior agreements and understandings of the parties, oral and written, with respect to the subject matter hereof. Notwithstanding anything to the contrary set forth herein, it is understood and agreed by the Parties that all other terms and conditions of the Engagement Letter shall remain in full force and effect.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shall inure solely to the benefit of and shall be binding upon the Parties and the controlling persons, directors and officers referred to in Section 5 hereof, and their respective successors, legal representatives, heirs and assigns, and no other person shall have or be construed to have any legal or equitable right, remedy or claim under or in respect of or by virtue of this Agreement or any provisions herein contained. The term “successors and assigns” shall not include a purchaser, in its capacity as such, of securities from the Underwriter.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r>
        <w:rPr>
          <w:rFonts w:ascii="Times New Roman;Times;Serif" w:hAnsi="Times New Roman;Times;Serif"/>
          <w:b w:val="false"/>
          <w:i w:val="false"/>
          <w:caps w:val="false"/>
          <w:smallCaps w:val="false"/>
          <w:sz w:val="20"/>
          <w:u w:val="single"/>
        </w:rPr>
        <w:t>Governing Law; Consent to Jurisdiction; Appointment of Agent for Service; Waiver of Trial by Jury</w:t>
      </w:r>
      <w:r>
        <w:rPr>
          <w:rFonts w:ascii="Times New Roman;Times;Serif" w:hAnsi="Times New Roman;Times;Serif"/>
          <w:b w:val="false"/>
          <w:i w:val="false"/>
          <w:caps w:val="false"/>
          <w:smallCaps w:val="false"/>
          <w:sz w:val="20"/>
        </w:rPr>
        <w:t>. This Agreement shall be governed by and construed and enforced in accordance with the laws of the State of New York, without giving effect to conflict of laws principles thereof. The Company hereby agrees that any action, proceeding or claim against it arising out of, or relating in any way to this Agreement (each, a “</w:t>
      </w:r>
      <w:r>
        <w:rPr>
          <w:rFonts w:ascii="Times New Roman;Times;Serif" w:hAnsi="Times New Roman;Times;Serif"/>
          <w:b/>
          <w:i w:val="false"/>
          <w:caps w:val="false"/>
          <w:smallCaps w:val="false"/>
          <w:sz w:val="20"/>
        </w:rPr>
        <w:t>Related Proceeding</w:t>
      </w:r>
      <w:r>
        <w:rPr>
          <w:rFonts w:ascii="Times New Roman;Times;Serif" w:hAnsi="Times New Roman;Times;Serif"/>
          <w:b w:val="false"/>
          <w:i w:val="false"/>
          <w:caps w:val="false"/>
          <w:smallCaps w:val="false"/>
          <w:sz w:val="20"/>
        </w:rPr>
        <w:t>”) shall be brought and enforced in the New York Supreme Court, County of New York, or in the United States District Court for the Southern District of New York, and irrevocably submits to such jurisdiction, which jurisdiction shall be exclusive. The Company hereby waives any objection to such exclusive jurisdiction and that such courts represent an inconvenient forum. The Company hereby irrevocably appoints Cogency Global Inc., with offices at 122 East 42nd Street, 18th Floor, New York, NY 10168 as its agent for service of process in any Related Proceeding and agrees that service of process in any such Related Proceeding may be made upon it at the office of such agent. or summons to be served upon the Company may be served by transmitting a copy thereof by registered or certified mail, return receipt requested, postage prepaid, addressed to it at the street address set forth in Section 10.1 hereof. Such mailing shall be deemed personal service and shall be legal and binding upon the Company in any action, proceeding or claim. The Company agrees that the prevailing Party in any such action shall be entitled to recover from the other Party all of such prevailing Party’s reasonable attorneys’ fees and expenses relating to such action or proceeding and/or incurred in connection with the preparation therefor. The Company (on its behalf and, to the extent permitted by applicable law, on behalf of its stockholders and affiliates) and the Underwriter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r>
        <w:rPr>
          <w:rFonts w:ascii="Times New Roman;Times;Serif" w:hAnsi="Times New Roman;Times;Serif"/>
          <w:b w:val="false"/>
          <w:i w:val="false"/>
          <w:caps w:val="false"/>
          <w:smallCaps w:val="false"/>
          <w:sz w:val="20"/>
          <w:u w:val="single"/>
        </w:rPr>
        <w:t>Execution in Counterparts</w:t>
      </w:r>
      <w:r>
        <w:rPr>
          <w:rFonts w:ascii="Times New Roman;Times;Serif" w:hAnsi="Times New Roman;Times;Serif"/>
          <w:b w:val="false"/>
          <w:i w:val="false"/>
          <w:caps w:val="false"/>
          <w:smallCaps w:val="false"/>
          <w:sz w:val="20"/>
        </w:rPr>
        <w:t>. This Agreement may be executed in one or more counterparts, and by the different Parties in separate counterparts, each of which shall be deemed to be an original, but all of which taken together shall constitute one and the same agreement, and shall become effective when one or more counterparts has been signed by each Party and delivered to the other Party. Delivery of a signed counterpart of this Agreement by facsimile or email or .pdf transmission shall constitute valid and sufficient delivery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10.8 </w:t>
      </w:r>
      <w:r>
        <w:rPr>
          <w:rFonts w:ascii="Times New Roman;Times;Serif" w:hAnsi="Times New Roman;Times;Serif"/>
          <w:b w:val="false"/>
          <w:i w:val="false"/>
          <w:caps w:val="false"/>
          <w:smallCaps w:val="false"/>
          <w:sz w:val="20"/>
          <w:u w:val="single"/>
        </w:rPr>
        <w:t>Waiver, etc</w:t>
      </w:r>
      <w:r>
        <w:rPr>
          <w:rFonts w:ascii="Times New Roman;Times;Serif" w:hAnsi="Times New Roman;Times;Serif"/>
          <w:b w:val="false"/>
          <w:i w:val="false"/>
          <w:caps w:val="false"/>
          <w:smallCaps w:val="false"/>
          <w:sz w:val="20"/>
        </w:rPr>
        <w:t>. The failure of any Party to at any time enforce any of the provisions of this Agreement shall not be deemed or construed to be a waiver of any such provision, nor to in any way effect the validity of this Agreement or any provision hereof or the right of any Party to thereafter enforce each and every provision of this Agreement. No waiver of any breach, non-compliance or non-fulfillment of any of the provisions of this Agreement shall be effective unless set forth in a written instrument executed by the Party against whom or which enforcement of such waiver is sought; and no waiver of any such breach, non-compliance or non-fulfillment shall be construed or deemed to be a waiver of any other or subsequent breach, non-compliance or non-fulfillment.</w:t>
      </w:r>
    </w:p>
    <w:p>
      <w:pPr>
        <w:pStyle w:val="TextBody"/>
        <w:bidi w:val="0"/>
        <w:spacing w:before="0" w:after="0"/>
        <w:ind w:left="0" w:right="0" w:firstLine="780"/>
        <w:jc w:val="left"/>
        <w:rPr>
          <w:caps w:val="false"/>
          <w:smallCaps w:val="false"/>
        </w:rPr>
      </w:pPr>
      <w:r>
        <w:rPr>
          <w:caps w:val="false"/>
          <w:smallCaps w:val="false"/>
        </w:rPr>
        <w:t> </w:t>
      </w:r>
    </w:p>
    <w:p>
      <w:pPr>
        <w:pStyle w:val="TextBody"/>
        <w:bidi w:val="0"/>
        <w:spacing w:before="0" w:after="0"/>
        <w:ind w:left="0" w:right="0" w:firstLine="780"/>
        <w:jc w:val="center"/>
        <w:rPr>
          <w:bdr w:val="single" w:sz="12" w:space="1" w:color="000000"/>
        </w:rPr>
      </w:pPr>
      <w:r>
        <w:rPr>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Underwriting Agreement to be duly executed as of the day and year first above written.</w:t>
      </w:r>
    </w:p>
    <w:p>
      <w:pPr>
        <w:pStyle w:val="TextBody"/>
        <w:bidi w:val="0"/>
        <w:spacing w:before="0" w:after="0"/>
        <w:ind w:left="0" w:right="0" w:firstLine="72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TRIDENT DIGITAL TECH HOLDINGS LTD</w:t>
            </w:r>
          </w:p>
        </w:tc>
      </w:tr>
    </w:tbl>
    <w:p>
      <w:pPr>
        <w:pStyle w:val="TextBody"/>
        <w:bidi w:val="0"/>
        <w:spacing w:before="0" w:after="0"/>
        <w:ind w:left="445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75"/>
        <w:gridCol w:w="320"/>
        <w:gridCol w:w="372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72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sz w:val="20"/>
              </w:rPr>
            </w:pPr>
            <w:r>
              <w:rPr>
                <w:sz w:val="20"/>
              </w:rPr>
              <w:t>Name: Soon Huat Lim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sz w:val="20"/>
              </w:rPr>
            </w:pPr>
            <w:r>
              <w:rPr>
                <w:sz w:val="20"/>
              </w:rPr>
              <w:t>Title:   Chairman and Chief Executive Officer</w:t>
            </w:r>
          </w:p>
        </w:tc>
      </w:tr>
    </w:tbl>
    <w:p>
      <w:pPr>
        <w:pStyle w:val="TextBody"/>
        <w:bidi w:val="0"/>
        <w:spacing w:before="0" w:after="0"/>
        <w:ind w:left="445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EDDID SECURITIES USA INC.</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335"/>
        <w:gridCol w:w="2525"/>
        <w:gridCol w:w="75"/>
      </w:tblGrid>
      <w:tr>
        <w:trPr/>
        <w:tc>
          <w:tcPr>
            <w:tcW w:w="335" w:type="dxa"/>
            <w:tcBorders/>
            <w:vAlign w:val="center"/>
          </w:tcPr>
          <w:p>
            <w:pPr>
              <w:pStyle w:val="TableContents"/>
              <w:bidi w:val="0"/>
              <w:spacing w:before="0" w:after="283"/>
              <w:jc w:val="left"/>
              <w:rPr>
                <w:sz w:val="20"/>
              </w:rPr>
            </w:pPr>
            <w:r>
              <w:rPr>
                <w:sz w:val="20"/>
              </w:rPr>
              <w:t>By:</w:t>
            </w:r>
          </w:p>
        </w:tc>
        <w:tc>
          <w:tcPr>
            <w:tcW w:w="25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20"/>
              </w:rPr>
            </w:pPr>
            <w:r>
              <w:rPr>
                <w:sz w:val="20"/>
              </w:rPr>
              <w:t>Name: Mr. Tom Li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20"/>
              </w:rPr>
            </w:pPr>
            <w:r>
              <w:rPr>
                <w:sz w:val="20"/>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Underwriting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1</w:t>
      </w:r>
    </w:p>
    <w:p>
      <w:pPr>
        <w:pStyle w:val="TextBody"/>
        <w:bidi w:val="0"/>
        <w:spacing w:before="0" w:after="0"/>
        <w:jc w:val="center"/>
        <w:rPr>
          <w:caps w:val="false"/>
          <w:smallCaps w:val="false"/>
        </w:rPr>
      </w:pPr>
      <w:r>
        <w:rPr>
          <w:caps w:val="false"/>
          <w:smallCaps w:val="false"/>
        </w:rPr>
        <w:t> </w:t>
      </w:r>
    </w:p>
    <w:tbl>
      <w:tblPr>
        <w:tblW w:w="5664" w:type="dxa"/>
        <w:jc w:val="left"/>
        <w:tblInd w:w="0" w:type="dxa"/>
        <w:tblLayout w:type="fixed"/>
        <w:tblCellMar>
          <w:top w:w="0" w:type="dxa"/>
          <w:left w:w="0" w:type="dxa"/>
          <w:bottom w:w="28" w:type="dxa"/>
          <w:right w:w="0" w:type="dxa"/>
        </w:tblCellMar>
      </w:tblPr>
      <w:tblGrid>
        <w:gridCol w:w="2555"/>
        <w:gridCol w:w="60"/>
        <w:gridCol w:w="743"/>
        <w:gridCol w:w="2231"/>
        <w:gridCol w:w="75"/>
      </w:tblGrid>
      <w:tr>
        <w:trPr/>
        <w:tc>
          <w:tcPr>
            <w:tcW w:w="2555" w:type="dxa"/>
            <w:tcBorders>
              <w:bottom w:val="single" w:sz="12" w:space="0" w:color="000000"/>
            </w:tcBorders>
            <w:vAlign w:val="center"/>
          </w:tcPr>
          <w:p>
            <w:pPr>
              <w:pStyle w:val="TableContents"/>
              <w:bidi w:val="0"/>
              <w:spacing w:before="0" w:after="283"/>
              <w:jc w:val="left"/>
              <w:rPr>
                <w:b/>
              </w:rPr>
            </w:pPr>
            <w:r>
              <w:rPr>
                <w:b/>
              </w:rPr>
              <w:t>Underwriter</w:t>
            </w:r>
          </w:p>
        </w:tc>
        <w:tc>
          <w:tcPr>
            <w:tcW w:w="60" w:type="dxa"/>
            <w:tcBorders/>
            <w:tcMar>
              <w:bottom w:w="0" w:type="dxa"/>
            </w:tcMar>
            <w:vAlign w:val="center"/>
          </w:tcPr>
          <w:p>
            <w:pPr>
              <w:pStyle w:val="TableContents"/>
              <w:bidi w:val="0"/>
              <w:spacing w:before="0" w:after="283"/>
              <w:jc w:val="left"/>
              <w:rPr/>
            </w:pPr>
            <w:r>
              <w:rPr/>
              <w:t> </w:t>
            </w:r>
          </w:p>
        </w:tc>
        <w:tc>
          <w:tcPr>
            <w:tcW w:w="2974" w:type="dxa"/>
            <w:gridSpan w:val="2"/>
            <w:tcBorders>
              <w:bottom w:val="single" w:sz="12" w:space="0" w:color="000000"/>
            </w:tcBorders>
            <w:vAlign w:val="center"/>
          </w:tcPr>
          <w:p>
            <w:pPr>
              <w:pStyle w:val="TableContents"/>
              <w:bidi w:val="0"/>
              <w:spacing w:before="0" w:after="283"/>
              <w:jc w:val="center"/>
              <w:rPr>
                <w:b/>
              </w:rPr>
            </w:pPr>
            <w:r>
              <w:rPr>
                <w:b/>
              </w:rPr>
              <w:t>Total Number of</w:t>
              <w:br/>
              <w:t>Firm Shares to be Purchased</w:t>
            </w:r>
          </w:p>
        </w:tc>
        <w:tc>
          <w:tcPr>
            <w:tcW w:w="75" w:type="dxa"/>
            <w:tcBorders/>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pPr>
            <w:r>
              <w:rPr/>
              <w:t>Eddid Securities USA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3" w:type="dxa"/>
            <w:tcBorders>
              <w:bottom w:val="single" w:sz="12" w:space="0" w:color="000000"/>
            </w:tcBorders>
            <w:shd w:fill="CCEEFF" w:val="clear"/>
            <w:vAlign w:val="center"/>
          </w:tcPr>
          <w:p>
            <w:pPr>
              <w:pStyle w:val="TableContents"/>
              <w:bidi w:val="0"/>
              <w:spacing w:before="0" w:after="283"/>
              <w:jc w:val="left"/>
              <w:rPr/>
            </w:pPr>
            <w:r>
              <w:rPr/>
              <w:t> </w:t>
            </w:r>
          </w:p>
        </w:tc>
        <w:tc>
          <w:tcPr>
            <w:tcW w:w="2231" w:type="dxa"/>
            <w:tcBorders>
              <w:bottom w:val="single" w:sz="12" w:space="0" w:color="000000"/>
            </w:tcBorders>
            <w:shd w:fill="CCEEFF" w:val="cle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3" w:type="dxa"/>
            <w:tcBorders>
              <w:bottom w:val="double" w:sz="10" w:space="0" w:color="000000"/>
            </w:tcBorders>
            <w:shd w:fill="FFFFFF" w:val="clear"/>
            <w:vAlign w:val="center"/>
          </w:tcPr>
          <w:p>
            <w:pPr>
              <w:pStyle w:val="TableContents"/>
              <w:bidi w:val="0"/>
              <w:spacing w:before="0" w:after="283"/>
              <w:jc w:val="left"/>
              <w:rPr/>
            </w:pPr>
            <w:r>
              <w:rPr/>
              <w:t> </w:t>
            </w:r>
          </w:p>
        </w:tc>
        <w:tc>
          <w:tcPr>
            <w:tcW w:w="2231" w:type="dxa"/>
            <w:tcBorders>
              <w:bottom w:val="double" w:sz="10"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Sch.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2-A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Pricing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Firm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 per Firm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Discount per Firm Share: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to Company per Firm Share (before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2-B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General Use Free Writing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Sch. 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Lock-Up Parties</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28" w:type="dxa"/>
          <w:right w:w="0" w:type="dxa"/>
        </w:tblCellMar>
      </w:tblPr>
      <w:tblGrid>
        <w:gridCol w:w="2315"/>
        <w:gridCol w:w="60"/>
        <w:gridCol w:w="5330"/>
      </w:tblGrid>
      <w:tr>
        <w:trPr/>
        <w:tc>
          <w:tcPr>
            <w:tcW w:w="231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tcMar>
              <w:bottom w:w="0" w:type="dxa"/>
            </w:tcMar>
            <w:vAlign w:val="center"/>
          </w:tcPr>
          <w:p>
            <w:pPr>
              <w:pStyle w:val="TableContents"/>
              <w:bidi w:val="0"/>
              <w:spacing w:before="0" w:after="283"/>
              <w:jc w:val="left"/>
              <w:rPr/>
            </w:pPr>
            <w:r>
              <w:rPr/>
              <w:t> </w:t>
            </w:r>
          </w:p>
        </w:tc>
        <w:tc>
          <w:tcPr>
            <w:tcW w:w="53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Position</w:t>
            </w:r>
          </w:p>
        </w:tc>
      </w:tr>
      <w:tr>
        <w:trPr/>
        <w:tc>
          <w:tcPr>
            <w:tcW w:w="23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30" w:type="dxa"/>
            <w:tcBorders/>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Soon Huat Lim</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Founder, Chairman, Director and Chief Executive Officer</w:t>
            </w:r>
          </w:p>
        </w:tc>
      </w:tr>
      <w:tr>
        <w:trPr/>
        <w:tc>
          <w:tcPr>
            <w:tcW w:w="23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Haiyan Huang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23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Poh Kiong Tan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Technology Officer</w:t>
            </w:r>
          </w:p>
        </w:tc>
      </w:tr>
      <w:tr>
        <w:trPr/>
        <w:tc>
          <w:tcPr>
            <w:tcW w:w="23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5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 of over 5% of the Company’s outstanding Common Stock</w:t>
            </w:r>
          </w:p>
        </w:tc>
      </w:tr>
      <w:tr>
        <w:trPr/>
        <w:tc>
          <w:tcPr>
            <w:tcW w:w="23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Trident Digital Tech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 of over 5% of the Company’s outstanding Common Stock</w:t>
            </w:r>
          </w:p>
        </w:tc>
      </w:tr>
      <w:tr>
        <w:trPr/>
        <w:tc>
          <w:tcPr>
            <w:tcW w:w="23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Trident Wealth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 of over 5% of the Company’s outstanding Common Stock</w:t>
            </w:r>
          </w:p>
        </w:tc>
      </w:tr>
      <w:tr>
        <w:trPr/>
        <w:tc>
          <w:tcPr>
            <w:tcW w:w="23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Trident Group Holdings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 of over 5% of the Company’s outstanding Common Stock</w:t>
            </w:r>
          </w:p>
        </w:tc>
      </w:tr>
      <w:tr>
        <w:trPr/>
        <w:tc>
          <w:tcPr>
            <w:tcW w:w="23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Soon Tai Lee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 of over 5% of the Company’s outstanding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Sch. 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Eddid Securities USA Inc.</w:t>
        <w:br/>
        <w:t>11 Broadyway, Suite 801,</w:t>
        <w:br/>
        <w:t>New York, NY 10004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Eddid Securities USA Inc. (the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proposes to enter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with Trident Digital Tech Holdings Ltd, a Cayman Islands exempt company with limited liability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providing for the offering of the Public Securities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Capitalized terms used but not herein defined have the meanings set forth in the Underwriting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Underwriter to continue its efforts in connection with the Offering, the undersigned hereby agrees that, without the prior written consent of the Underwriter, the undersigned will not, during Lock-Up Period,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w:t>
      </w:r>
      <w:r>
        <w:rPr>
          <w:rFonts w:ascii="Times New Roman;Times;Serif" w:hAnsi="Times New Roman;Times;Serif"/>
          <w:b/>
          <w:i w:val="false"/>
          <w:caps w:val="false"/>
          <w:smallCaps w:val="false"/>
          <w:sz w:val="20"/>
        </w:rPr>
        <w:t>Lock-up Securities</w:t>
      </w:r>
      <w:r>
        <w:rPr>
          <w:rFonts w:ascii="Times New Roman;Times;Serif" w:hAnsi="Times New Roman;Times;Serif"/>
          <w:b w:val="false"/>
          <w:i w:val="false"/>
          <w:caps w:val="false"/>
          <w:smallCaps w:val="false"/>
          <w:sz w:val="20"/>
        </w:rPr>
        <w:t>”); (ii) file or cause to be filed any registration statement with the Commission relating to the offering of Lock-Up Securities; (iii) complete any offering of debt securities of the Company without notice to the Underwriter, other than entering into a line of credit or senior credit facility with a traditional bank or other lending institution, or (iv) enter into any swap or other arrangement that transfers to another, in whole or in part, any of the economic consequences of ownership of capital stock of the Company, whether any such transaction described in clause (i), (ii), (iii) or (iv) above is to be settled by delivery of shares of capital stock of the Company or such other securities, in cash or otherwise. The restrictions contained in this paragraph shall not apply to (i) the Class B Shares to be sold in the Offering, (ii) the issuance by the Company of shares of capital stock upon the exercise of an outstanding stock option or warrant or the conversion of a security outstanding on the date hereof, of which the Underwriter has been advised in writing, (iii) the issuance by the Company of any security under any equity compensation plan of the Company or (iv) any issuance of securities disclosed in the Registration Statement, the Pricing Disclosure Package or the Prospectus.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an officer or director of the Company, (i) the undersigned agrees that the foregoing restrictions shall be equally applicable to any capital stock of issuer-directed or “friends and family” that the undersigned may purchase in the Offering; (ii) the Underwriter agrees that, at least three (3) Business Days before the effective date of any release or waiver of the foregoing restrictions in connection with a transfer of Lock-Up Securities, the Underwriter will notify the Company of the impending release or waiver; and (iii) the Company has agreed in the Underwriting Agreement to announce the impending release or waiver by press release through a major news service at least two (2) Business Days before the effective date of the release or waiver. Any release or waiver granted by the Underwriter hereunder to any such officer or director shall only be effective two (2) Business Days after the publication date of such press release. The provisions of this paragraph will not apply if (a) the release or waiver is effected solely to permit a transfer of Lock-Up Securities not for consideration and (b) the transferee has agreed in writing to be bound by the same terms described in this Lock-Up Agreement to the extent and for the duration that such terms remain in effect at the time of such transfer.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Ex. A-1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provision in this agreement shall be deemed to restrict or prohibit the exercise, exchange or conversion by the undersigned of any securities exercisable or exchangeable for or convertible into Common Stock,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undersigned does not transfer the Common Stock acquired on such exercise, exchange or conversion during the Lock-Up Period, unless otherwise permitted pursuant to the terms of this lock-up agreement. In addition, no provision herein shall be deemed to restrict or prohibit the entry into or modification of a so-called “10b5-1” plan at any time (other than the entry into or modification of such a plan in such a manner as to cause the sale of any Lock-Up Securities within the Lock-Up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the Parties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if the Underwriting Agreement is not executed by [DATE], 2024, or if the Underwriting Agreement (other than the provisions thereof which survive termination) shall terminate or be terminated prior to payment for and delivery of the Public Securities, then this Lock-Up agreement shall be void and of no further force or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Offering actually occurs depends on a number of factors, including market conditions. Any Offering will only be made pursuant to an Underwriting Agreement, the terms of which are subject to negotiation between the Parties.</w:t>
      </w:r>
    </w:p>
    <w:p>
      <w:pPr>
        <w:pStyle w:val="TextBody"/>
        <w:bidi w:val="0"/>
        <w:spacing w:before="0" w:after="0"/>
        <w:ind w:left="0" w:right="0" w:firstLine="720"/>
        <w:jc w:val="left"/>
        <w:rPr>
          <w:caps w:val="false"/>
          <w:smallCaps w:val="false"/>
        </w:rPr>
      </w:pPr>
      <w:r>
        <w:rPr>
          <w:caps w:val="false"/>
          <w:smallCaps w:val="false"/>
        </w:rPr>
        <w:t> </w:t>
      </w:r>
    </w:p>
    <w:tbl>
      <w:tblPr>
        <w:tblW w:w="5450" w:type="dxa"/>
        <w:jc w:val="left"/>
        <w:tblInd w:w="0" w:type="dxa"/>
        <w:tblLayout w:type="fixed"/>
        <w:tblCellMar>
          <w:top w:w="0" w:type="dxa"/>
          <w:left w:w="0" w:type="dxa"/>
          <w:bottom w:w="0" w:type="dxa"/>
          <w:right w:w="0" w:type="dxa"/>
        </w:tblCellMar>
      </w:tblPr>
      <w:tblGrid>
        <w:gridCol w:w="75"/>
        <w:gridCol w:w="5375"/>
      </w:tblGrid>
      <w:tr>
        <w:trPr/>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(Name - Please Print)</w:t>
            </w:r>
          </w:p>
        </w:tc>
      </w:tr>
      <w:tr>
        <w:trPr/>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(Signature)</w:t>
            </w:r>
          </w:p>
        </w:tc>
      </w:tr>
      <w:tr>
        <w:trPr/>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(Name of Signatory, in the case of entities - Please Print)</w:t>
            </w:r>
          </w:p>
        </w:tc>
      </w:tr>
      <w:tr>
        <w:trPr/>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(Title of Signatory, in the case of entities - Please Print)</w:t>
            </w:r>
          </w:p>
        </w:tc>
      </w:tr>
    </w:tbl>
    <w:p>
      <w:pPr>
        <w:pStyle w:val="TextBody"/>
        <w:bidi w:val="0"/>
        <w:spacing w:before="0" w:after="0"/>
        <w:ind w:left="0" w:right="0" w:hanging="0"/>
        <w:jc w:val="left"/>
        <w:rPr>
          <w:caps w:val="false"/>
          <w:smallCaps w:val="false"/>
        </w:rPr>
      </w:pPr>
      <w:r>
        <w:rPr>
          <w:caps w:val="false"/>
          <w:smallCaps w:val="false"/>
        </w:rPr>
        <w:t> </w:t>
      </w:r>
    </w:p>
    <w:tbl>
      <w:tblPr>
        <w:tblW w:w="1070" w:type="dxa"/>
        <w:jc w:val="left"/>
        <w:tblInd w:w="0" w:type="dxa"/>
        <w:tblLayout w:type="fixed"/>
        <w:tblCellMar>
          <w:top w:w="0" w:type="dxa"/>
          <w:left w:w="0" w:type="dxa"/>
          <w:bottom w:w="0" w:type="dxa"/>
          <w:right w:w="0" w:type="dxa"/>
        </w:tblCellMar>
      </w:tblPr>
      <w:tblGrid>
        <w:gridCol w:w="75"/>
        <w:gridCol w:w="920"/>
        <w:gridCol w:w="75"/>
      </w:tblGrid>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Address: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center"/>
        <w:rPr>
          <w:bdr w:val="single" w:sz="12" w:space="1" w:color="000000"/>
        </w:rPr>
      </w:pPr>
      <w:r>
        <w:rPr>
          <w:bdr w:val="single" w:sz="12" w:space="1" w:color="000000"/>
        </w:rPr>
        <w:t>Ex. A-2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Press Release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Holdings Ltd (the “Company”) announced today that Eddid Securities USA Inc., acting as the Underwriter in the Company’s recent public offering of  _______ American Depositary Shares of the Company (“ADS”), each ADS representing [ ] Class B ordinary shares of the Company, par value $0.00001 per share, is [waiving] [releasing] a lock-up restriction with respect to _________  Class B ordinary shares of the Company (the “Shares”) held by [certain officers or directors or shareholders holding more than 5% of the outstanding capital stock] [an officer or director or shareholder holding more than 5% of the outstanding capital stock] of the Company.  The [waiver] [release] will take effect on _________, 20___, and the Shares may be sold or otherwise disposed of on or after such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 B-1</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ff12024a3ex23-1_trident.htm"/>
      <w:bookmarkStart w:id="44" w:name="ksff12024a3ex231_trident"/>
      <w:bookmarkEnd w:id="43"/>
      <w:bookmarkEnd w:id="44"/>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95500" cy="333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34"/>
                    <a:stretch>
                      <a:fillRect/>
                    </a:stretch>
                  </pic:blipFill>
                  <pic:spPr bwMode="auto">
                    <a:xfrm>
                      <a:off x="0" y="0"/>
                      <a:ext cx="2095500" cy="333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Registration Statement of Trident Digital Tech Holdings Ltd on the Amendment No. 3 Form F-1 (File No. 333-274857) of our report dated July 7, 2023, with respect to our audits of the consolidated financial statements of Trident Digital Tech Holdings Ltd as of December 31, 2022 and 2021 and for the years ended December 31, 2022 and 2021, which report appears in the Prospectus, which is part of this Registration Statement. We also consent to the reference to our Firm under the heading “Experts” in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Asia CPAs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BEIJING OFFICE ● Units 06-09 ● 46th Floor ● China World Tower B ● No. 1 Jian Guo Men Wai Avenue ● Chaoyang District ● Beijing ● 100004</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Phone 8610.8518.7992 ● Fax 8610.8518.7993 ● www.marcumasia.com</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ff12024a3ex99-8_trident.htm"/>
      <w:bookmarkStart w:id="46" w:name="ksff12024a3ex998_trident"/>
      <w:bookmarkEnd w:id="45"/>
      <w:bookmarkEnd w:id="46"/>
      <w:r>
        <w:rPr>
          <w:rFonts w:ascii="Times New Roman;Times;Serif" w:hAnsi="Times New Roman;Times;Serif"/>
          <w:b/>
          <w:i w:val="false"/>
          <w:caps w:val="false"/>
          <w:smallCaps w:val="false"/>
          <w:sz w:val="20"/>
        </w:rPr>
        <w:t>Exhibit 99.8</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Suntec Tower 3,</w:t>
        <w:br/>
        <w:t>8 Temasek Boulevard Road, #24-03</w:t>
        <w:br/>
        <w:t>Singapore, 038988</w:t>
        <w:br/>
        <w:t>+65 6513 6868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2024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Chief Accountant</w:t>
        <w:br/>
        <w:t>U.S. Securities and Exchange Commission</w:t>
        <w:br/>
        <w:t>100 F Street, N.E.</w:t>
        <w:br/>
        <w:t>Washington, D.C. 20549</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320"/>
        <w:gridCol w:w="6350"/>
      </w:tblGrid>
      <w:tr>
        <w:trPr/>
        <w:tc>
          <w:tcPr>
            <w:tcW w:w="3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w:t>
            </w:r>
          </w:p>
        </w:tc>
        <w:tc>
          <w:tcPr>
            <w:tcW w:w="635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 (CIK No. 0001983550)</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F-1</w:t>
            </w:r>
          </w:p>
          <w:p>
            <w:pPr>
              <w:pStyle w:val="TableContents"/>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Representations Made Pursuant to Instruction 2 to Item 8.A.4 of Form 20-F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Holdings Ltd, is a company organized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proposed initial public offering of the Company’s Class B ordinary shares to be represented by American depositary shares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the Company hereby respectfully makes the representations to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required by Instruction 2 to Item 8.A.4 of Form 20-F, which states that in the case of a company’s initial public offering, a company may comply with only the 15-month requirement in Item 8.A.4 of Form 20-F if the company is able to make the representations specified by Instruction 2 to Item 8.A.4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filing of Amendment No. 3 to the Company’s registration statement on Form F-1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on the date hereof contained audited financial statements prepared in accordance with accounting principles generally accepted in the United States of America for the year ended December 31, 2022 and unaudited financial statements for the six months ended June 30,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submitting the Registration Statement, the Company is complying with the 15-month requirement, rather than the 12-month requirement, with respect to the last year of audited financial statements. The Company is submitting this representation letter pursuant to Instruction 2 to Item 8.A.4 of Form 20-F, which provides that “[a] company may comply with only the 15-month requirement in this item if the company is able to represent that it is not required to comply with the 12-month requirement in any other jurisdiction outside the United States and that complying with the 12-month requirement is impracticable or involves undue hardship.”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represents to the Commission that: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62"/>
        <w:gridCol w:w="9441"/>
      </w:tblGrid>
      <w:tr>
        <w:trPr/>
        <w:tc>
          <w:tcPr>
            <w:tcW w:w="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1.</w:t>
            </w:r>
          </w:p>
        </w:tc>
        <w:tc>
          <w:tcPr>
            <w:tcW w:w="9441" w:type="dxa"/>
            <w:tcBorders/>
            <w:vAlign w:val="center"/>
          </w:tcPr>
          <w:p>
            <w:pPr>
              <w:pStyle w:val="TableContents"/>
              <w:bidi w:val="0"/>
              <w:spacing w:before="0" w:after="283"/>
              <w:jc w:val="left"/>
              <w:rPr/>
            </w:pPr>
            <w:r>
              <w:rPr/>
              <w:t>the Company is not required by any jurisdiction outside of the United States to issue audited financial statements as of a date not older than 12 months at the time this document is submitted;</w:t>
            </w:r>
          </w:p>
        </w:tc>
      </w:tr>
    </w:tbl>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75"/>
        <w:gridCol w:w="9428"/>
      </w:tblGrid>
      <w:tr>
        <w:trPr/>
        <w:tc>
          <w:tcPr>
            <w:tcW w:w="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2.</w:t>
            </w:r>
          </w:p>
        </w:tc>
        <w:tc>
          <w:tcPr>
            <w:tcW w:w="9428" w:type="dxa"/>
            <w:tcBorders/>
            <w:vAlign w:val="center"/>
          </w:tcPr>
          <w:p>
            <w:pPr>
              <w:pStyle w:val="TableContents"/>
              <w:bidi w:val="0"/>
              <w:spacing w:before="0" w:after="283"/>
              <w:jc w:val="left"/>
              <w:rPr/>
            </w:pPr>
            <w:r>
              <w:rPr/>
              <w:t>compliance with the 12-month requirement in Item 8.A.4 of Form 20-F is impracticable and involves undue hardship for the Company;</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75"/>
        <w:gridCol w:w="9428"/>
      </w:tblGrid>
      <w:tr>
        <w:trPr/>
        <w:tc>
          <w:tcPr>
            <w:tcW w:w="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3.</w:t>
            </w:r>
          </w:p>
        </w:tc>
        <w:tc>
          <w:tcPr>
            <w:tcW w:w="9428" w:type="dxa"/>
            <w:tcBorders/>
            <w:vAlign w:val="center"/>
          </w:tcPr>
          <w:p>
            <w:pPr>
              <w:pStyle w:val="TableContents"/>
              <w:bidi w:val="0"/>
              <w:spacing w:before="0" w:after="283"/>
              <w:jc w:val="left"/>
              <w:rPr/>
            </w:pPr>
            <w:r>
              <w:rPr/>
              <w:t>compliance with the 12-month requirement in Item 8.A.4 of Form 20-F is impracticable and involves undue hardship for the Company;</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71"/>
        <w:gridCol w:w="9432"/>
      </w:tblGrid>
      <w:tr>
        <w:trPr/>
        <w:tc>
          <w:tcPr>
            <w:tcW w:w="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4.</w:t>
            </w:r>
          </w:p>
        </w:tc>
        <w:tc>
          <w:tcPr>
            <w:tcW w:w="9432" w:type="dxa"/>
            <w:tcBorders/>
            <w:vAlign w:val="center"/>
          </w:tcPr>
          <w:p>
            <w:pPr>
              <w:pStyle w:val="TableContents"/>
              <w:bidi w:val="0"/>
              <w:spacing w:before="0" w:after="283"/>
              <w:jc w:val="left"/>
              <w:rPr/>
            </w:pPr>
            <w:r>
              <w:rPr/>
              <w:t>the Company does not anticipate that its audited financial statements for the year ended December 31, 2023 will be available until April 2024; and</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67"/>
        <w:gridCol w:w="9436"/>
      </w:tblGrid>
      <w:tr>
        <w:trPr/>
        <w:tc>
          <w:tcPr>
            <w:tcW w:w="3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5.</w:t>
            </w:r>
          </w:p>
        </w:tc>
        <w:tc>
          <w:tcPr>
            <w:tcW w:w="9436" w:type="dxa"/>
            <w:tcBorders/>
            <w:vAlign w:val="center"/>
          </w:tcPr>
          <w:p>
            <w:pPr>
              <w:pStyle w:val="TableContents"/>
              <w:bidi w:val="0"/>
              <w:spacing w:before="0" w:after="283"/>
              <w:jc w:val="left"/>
              <w:rPr/>
            </w:pPr>
            <w:r>
              <w:rPr/>
              <w:t>in no event will the Company seek effectiveness of the Registration Statement if its audited financial statements are older than 15 months at the time of the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submitting this letter as an exhibit to the Registration Statement pursuant to Instruction 2 to Item 8.A.4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do not hesitate to contact the undersigned at william.lim@tridentity.me or the Company’s counsel Stephanie Tang of Hogan Lovells at stephanie.tang@hoganlovells.com if you have any questions regarding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 yours,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94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Soon Huat Lim</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Soon Huat Lim</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Stephanie Tang, Esq., Partner, Hogan Lovells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Zhao, Partner, Marcum Asia CPAs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hyperlink" Target="http://www.sec.gov/Archives/edgar/data/1983550/000101376223001433/ff12023ex3-1_trident.htm" TargetMode="External"/><Relationship Id="rId13" Type="http://schemas.openxmlformats.org/officeDocument/2006/relationships/hyperlink" Target="http://www.sec.gov/Archives/edgar/data/1983550/000101376223001433/ff12023ex3-2_trident.htm" TargetMode="External"/><Relationship Id="rId14" Type="http://schemas.openxmlformats.org/officeDocument/2006/relationships/hyperlink" Target="http://www.sec.gov/Archives/edgar/data/1983550/000101376223004960/ff12023a1ex4-3_trident.htm" TargetMode="External"/><Relationship Id="rId15" Type="http://schemas.openxmlformats.org/officeDocument/2006/relationships/hyperlink" Target="http://www.sec.gov/Archives/edgar/data/1983550/000101376223004960/ff12023a1ex4-2_trident.htm" TargetMode="External"/><Relationship Id="rId16" Type="http://schemas.openxmlformats.org/officeDocument/2006/relationships/hyperlink" Target="http://www.sec.gov/Archives/edgar/data/1983550/000101376223004960/ff12023a1ex4-3_trident.htm" TargetMode="External"/><Relationship Id="rId17" Type="http://schemas.openxmlformats.org/officeDocument/2006/relationships/hyperlink" Target="http://www.sec.gov/Archives/edgar/data/1983550/000101376223004960/ff12023a1ex5-1_trident.htm" TargetMode="External"/><Relationship Id="rId18" Type="http://schemas.openxmlformats.org/officeDocument/2006/relationships/hyperlink" Target="http://www.sec.gov/Archives/edgar/data/1983550/000101376223004960/ff12023a1ex5-1_trident.htm" TargetMode="External"/><Relationship Id="rId19" Type="http://schemas.openxmlformats.org/officeDocument/2006/relationships/hyperlink" Target="http://www.sec.gov/Archives/edgar/data/1983550/000101376223001433/ff12023ex99-2_trident.htm" TargetMode="External"/><Relationship Id="rId20" Type="http://schemas.openxmlformats.org/officeDocument/2006/relationships/hyperlink" Target="http://www.sec.gov/Archives/edgar/data/1983550/000101376223001433/ff12023ex10-1_trident.htm" TargetMode="External"/><Relationship Id="rId21" Type="http://schemas.openxmlformats.org/officeDocument/2006/relationships/hyperlink" Target="http://www.sec.gov/Archives/edgar/data/1983550/000101376223001433/ff12023ex10-2_trident.htm" TargetMode="External"/><Relationship Id="rId22" Type="http://schemas.openxmlformats.org/officeDocument/2006/relationships/hyperlink" Target="http://www.sec.gov/Archives/edgar/data/1983550/000101376223001433/ff12023ex10-3_trident.htm" TargetMode="External"/><Relationship Id="rId23" Type="http://schemas.openxmlformats.org/officeDocument/2006/relationships/hyperlink" Target="http://www.sec.gov/Archives/edgar/data/1983550/000101376223001433/ff12023ex21-1_trident.htm" TargetMode="External"/><Relationship Id="rId24" Type="http://schemas.openxmlformats.org/officeDocument/2006/relationships/hyperlink" Target="http://www.sec.gov/Archives/edgar/data/1983550/000101376223004960/ff12023a1ex5-1_trident.htm" TargetMode="External"/><Relationship Id="rId25" Type="http://schemas.openxmlformats.org/officeDocument/2006/relationships/hyperlink" Target="http://www.sec.gov/Archives/edgar/data/1983550/000101376223001433/ff12023ex99-2_trident.htm" TargetMode="External"/><Relationship Id="rId26" Type="http://schemas.openxmlformats.org/officeDocument/2006/relationships/hyperlink" Target="http://www.sec.gov/Archives/edgar/data/1983550/000101376223001433/ff12023ex99-1_trident.htm" TargetMode="External"/><Relationship Id="rId27" Type="http://schemas.openxmlformats.org/officeDocument/2006/relationships/hyperlink" Target="http://www.sec.gov/Archives/edgar/data/1983550/000101376223001433/ff12023ex99-2_trident.htm" TargetMode="External"/><Relationship Id="rId28" Type="http://schemas.openxmlformats.org/officeDocument/2006/relationships/hyperlink" Target="http://www.sec.gov/Archives/edgar/data/1983550/000101376223001433/ff12023ex99-3_trident.htm" TargetMode="External"/><Relationship Id="rId29" Type="http://schemas.openxmlformats.org/officeDocument/2006/relationships/hyperlink" Target="http://www.sec.gov/Archives/edgar/data/1983550/000101376223001433/ff12023ex99-4_trident.htm" TargetMode="External"/><Relationship Id="rId30" Type="http://schemas.openxmlformats.org/officeDocument/2006/relationships/hyperlink" Target="http://www.sec.gov/Archives/edgar/data/1983550/000101376223001433/ff12023ex99-5_trident.htm" TargetMode="External"/><Relationship Id="rId31" Type="http://schemas.openxmlformats.org/officeDocument/2006/relationships/hyperlink" Target="http://www.sec.gov/Archives/edgar/data/1983550/000101376223001433/ff12023ex99-6_trident.htm" TargetMode="External"/><Relationship Id="rId32" Type="http://schemas.openxmlformats.org/officeDocument/2006/relationships/hyperlink" Target="http://www.sec.gov/Archives/edgar/data/1983550/000101376223001433/ff12023ex99-7_trident.htm" TargetMode="External"/><Relationship Id="rId33" Type="http://schemas.openxmlformats.org/officeDocument/2006/relationships/hyperlink" Target="http://www.sec.gov/Archives/edgar/data/1983550/000101376223001433/ff12023ex-fee_trident.htm" TargetMode="External"/><Relationship Id="rId34" Type="http://schemas.openxmlformats.org/officeDocument/2006/relationships/image" Target="media/image10.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180</Pages>
  <Words>119271</Words>
  <Characters>642984</Characters>
  <CharactersWithSpaces>764885</CharactersWithSpaces>
  <Paragraphs>10599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