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7167-6k_trident.htm"/>
      <w:bookmarkStart w:id="1" w:name="ksea03071676k_trident"/>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001-41848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Suntec Tower 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Temasek Boulevard Road, #24-03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038988</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Direct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2026, Trident Digital Tech Holdings Ltd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 Securities Purchase Agreement (the “</w:t>
      </w:r>
      <w:r>
        <w:rPr>
          <w:rFonts w:ascii="Times New Roman;Times;Serif" w:hAnsi="Times New Roman;Times;Serif"/>
          <w:b/>
          <w:i/>
          <w:caps w:val="false"/>
          <w:smallCaps w:val="false"/>
          <w:sz w:val="20"/>
        </w:rPr>
        <w:t>Securities Purchase Agreement</w:t>
      </w:r>
      <w:r>
        <w:rPr>
          <w:rFonts w:ascii="Times New Roman;Times;Serif" w:hAnsi="Times New Roman;Times;Serif"/>
          <w:b w:val="false"/>
          <w:i w:val="false"/>
          <w:caps w:val="false"/>
          <w:smallCaps w:val="false"/>
          <w:sz w:val="20"/>
        </w:rPr>
        <w:t>”) with certain investors (collectively, the “</w:t>
      </w:r>
      <w:r>
        <w:rPr>
          <w:rFonts w:ascii="Times New Roman;Times;Serif" w:hAnsi="Times New Roman;Times;Serif"/>
          <w:b/>
          <w:i/>
          <w:caps w:val="false"/>
          <w:smallCaps w:val="false"/>
          <w:sz w:val="20"/>
        </w:rPr>
        <w:t>Investors</w:t>
      </w:r>
      <w:r>
        <w:rPr>
          <w:rFonts w:ascii="Times New Roman;Times;Serif" w:hAnsi="Times New Roman;Times;Serif"/>
          <w:b w:val="false"/>
          <w:i w:val="false"/>
          <w:caps w:val="false"/>
          <w:smallCaps w:val="false"/>
          <w:sz w:val="20"/>
        </w:rPr>
        <w:t>”), pursuant to which the Company agreed to issue and sell, and the Investors agreed to purchase, in a registered direct offering (the “</w:t>
      </w:r>
      <w:r>
        <w:rPr>
          <w:rFonts w:ascii="Times New Roman;Times;Serif" w:hAnsi="Times New Roman;Times;Serif"/>
          <w:b/>
          <w:i/>
          <w:caps w:val="false"/>
          <w:smallCaps w:val="false"/>
          <w:sz w:val="20"/>
        </w:rPr>
        <w:t>Offering</w:t>
      </w:r>
      <w:r>
        <w:rPr>
          <w:rFonts w:ascii="Times New Roman;Times;Serif" w:hAnsi="Times New Roman;Times;Serif"/>
          <w:b w:val="false"/>
          <w:i w:val="false"/>
          <w:caps w:val="false"/>
          <w:smallCaps w:val="false"/>
          <w:sz w:val="20"/>
        </w:rPr>
        <w:t>”), an aggregate of 30,000,000 Class B ordinary shares, par value US$0.0024 per share (the “Class B Ordinary Shares”), at an offering price of US$0.50 per share.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Class B Ordinary Shares were offered pursuant to the Company’s effective shelf registration statement on </w:t>
      </w:r>
      <w:hyperlink r:id="rId2">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(File No. 333-298224), which was declared effective by the U.S.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on August 27, 2026, including the prospectus forming a part thereof, as supplemented by a prospectus supplement dated September 27, 2026 relating to the Offering.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2026, the Company completed the closing of the Offering in accordance with the terms and conditions set forth in the Securities Purchase Agreement. Upon the closing, the Company issued and sold an aggregate of 30,000,000 Class B Ordinary Shares and received aggregate gross proceeds of US$15,000,000 before deducting offering expenses. The Investors paid their respective purchase prices in USD Coin (“</w:t>
      </w:r>
      <w:r>
        <w:rPr>
          <w:rFonts w:ascii="Times New Roman;Times;Serif" w:hAnsi="Times New Roman;Times;Serif"/>
          <w:b/>
          <w:i/>
          <w:caps w:val="false"/>
          <w:smallCaps w:val="false"/>
          <w:sz w:val="20"/>
        </w:rPr>
        <w:t>USDC</w:t>
      </w:r>
      <w:r>
        <w:rPr>
          <w:rFonts w:ascii="Times New Roman;Times;Serif" w:hAnsi="Times New Roman;Times;Serif"/>
          <w:b w:val="false"/>
          <w:i w:val="false"/>
          <w:caps w:val="false"/>
          <w:smallCaps w:val="false"/>
          <w:sz w:val="20"/>
        </w:rPr>
        <w:t>”), Tether (“</w:t>
      </w:r>
      <w:r>
        <w:rPr>
          <w:rFonts w:ascii="Times New Roman;Times;Serif" w:hAnsi="Times New Roman;Times;Serif"/>
          <w:b/>
          <w:i/>
          <w:caps w:val="false"/>
          <w:smallCaps w:val="false"/>
          <w:sz w:val="20"/>
        </w:rPr>
        <w:t>USDT</w:t>
      </w:r>
      <w:r>
        <w:rPr>
          <w:rFonts w:ascii="Times New Roman;Times;Serif" w:hAnsi="Times New Roman;Times;Serif"/>
          <w:b w:val="false"/>
          <w:i w:val="false"/>
          <w:caps w:val="false"/>
          <w:smallCaps w:val="false"/>
          <w:sz w:val="20"/>
        </w:rPr>
        <w:t>”), or a combination thereof.</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hold such USDT and/or USDC and may convert all or a portion thereof into U.S. dollars or other fiat currency for its digital asset reserve, working capital and/or general corporate purposes.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underwriter or placement agent was involved in the Offering, and no commissions or underwriting discounts were paid in connection with the Offering.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Purchase Agreement contain customary representations and warranties, covenants, closing conditions and termination rights.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Securities Purchase Agreement does not purport to be complete and is qualified in its entirety by reference to the form of Securities Purchase Agreement filed as Exhibit 10.1 to this Report on Form 6-K and incorporated herein by reference.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after the closing of the Offering, the Company had a total of 58,854,494 Class B ordinary shares and 208,333 Class A ordinary shares issued and outstanding.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 Cayman Islands counsel to the Company, delivered an opinion regarding the validity of the Class B Ordinary Shares issued and sold in the Offering, a copy of which is filed as Exhibit 5.1 to this Report on Form 6-K.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Incorporation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This Report on Form 6-K is hereby incorporated by reference into (i) the registration statement on </w:t>
      </w:r>
      <w:hyperlink r:id="rId3">
        <w:r>
          <w:rPr>
            <w:rStyle w:val="InternetLink"/>
            <w:rFonts w:ascii="Times New Roman;Times;Serif" w:hAnsi="Times New Roman;Times;Serif"/>
            <w:b w:val="false"/>
            <w:i w:val="false"/>
            <w:caps w:val="false"/>
            <w:smallCaps w:val="false"/>
            <w:sz w:val="20"/>
          </w:rPr>
          <w:t>Form F-3</w:t>
        </w:r>
      </w:hyperlink>
      <w:r>
        <w:rPr>
          <w:rFonts w:ascii="Times New Roman;Times;Serif" w:hAnsi="Times New Roman;Times;Serif"/>
          <w:b w:val="false"/>
          <w:i w:val="false"/>
          <w:caps w:val="false"/>
          <w:smallCaps w:val="false"/>
          <w:sz w:val="20"/>
        </w:rPr>
        <w:t xml:space="preserve"> of the Company (File Number 333-298224), as amended, and (ii) the registration statements on Form S-8 of the Company (File Numbers </w:t>
      </w:r>
      <w:hyperlink r:id="rId4">
        <w:r>
          <w:rPr>
            <w:rStyle w:val="InternetLink"/>
            <w:rFonts w:ascii="Times New Roman;Times;Serif" w:hAnsi="Times New Roman;Times;Serif"/>
            <w:b w:val="false"/>
            <w:i w:val="false"/>
            <w:caps w:val="false"/>
            <w:smallCaps w:val="false"/>
            <w:sz w:val="20"/>
          </w:rPr>
          <w:t>333-293439</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333-284116</w:t>
        </w:r>
      </w:hyperlink>
      <w:r>
        <w:rPr>
          <w:rFonts w:ascii="Times New Roman;Times;Serif" w:hAnsi="Times New Roman;Times;Serif"/>
          <w:b w:val="false"/>
          <w:i w:val="false"/>
          <w:caps w:val="false"/>
          <w:smallCaps w:val="false"/>
          <w:sz w:val="20"/>
        </w:rPr>
        <w:t xml:space="preserve">, and </w:t>
      </w:r>
      <w:hyperlink r:id="rId6">
        <w:r>
          <w:rPr>
            <w:rStyle w:val="InternetLink"/>
            <w:rFonts w:ascii="Times New Roman;Times;Serif" w:hAnsi="Times New Roman;Times;Serif"/>
            <w:b w:val="false"/>
            <w:i w:val="false"/>
            <w:caps w:val="false"/>
            <w:smallCaps w:val="false"/>
            <w:sz w:val="20"/>
          </w:rPr>
          <w:t>333-292667</w:t>
        </w:r>
      </w:hyperlink>
      <w:r>
        <w:rPr>
          <w:rFonts w:ascii="Times New Roman;Times;Serif" w:hAnsi="Times New Roman;Times;Serif"/>
          <w:b w:val="false"/>
          <w:i w:val="false"/>
          <w:caps w:val="false"/>
          <w:smallCaps w:val="false"/>
          <w:sz w:val="20"/>
        </w:rPr>
        <w:t>), as amended, and into the prospectuses outstanding under the foregoing registration statements, to the extent not superseded by documents or reports subsequently filed or furnished by the Company under the Securities Act of 1933, as amended, or the Securities Exchange Act of 1934,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12" w:space="0" w:color="000000"/>
            </w:tcBorders>
            <w:vAlign w:val="center"/>
          </w:tcPr>
          <w:p>
            <w:pPr>
              <w:pStyle w:val="TableContents"/>
              <w:bidi w:val="0"/>
              <w:spacing w:before="0" w:after="283"/>
              <w:jc w:val="both"/>
              <w:rPr>
                <w:b/>
              </w:rPr>
            </w:pPr>
            <w:r>
              <w:rPr>
                <w:b/>
              </w:rPr>
              <w:t>Exhibit</w:t>
              <w:br/>
              <w:t>Number</w:t>
            </w:r>
          </w:p>
        </w:tc>
        <w:tc>
          <w:tcPr>
            <w:tcW w:w="60" w:type="dxa"/>
            <w:tcBorders/>
            <w:tcMar>
              <w:bottom w:w="0" w:type="dxa"/>
            </w:tcMar>
            <w:vAlign w:val="center"/>
          </w:tcPr>
          <w:p>
            <w:pPr>
              <w:pStyle w:val="TableContents"/>
              <w:bidi w:val="0"/>
              <w:spacing w:before="0" w:after="283"/>
              <w:jc w:val="both"/>
              <w:rPr/>
            </w:pPr>
            <w:r>
              <w:rPr/>
              <w:t> </w:t>
            </w:r>
          </w:p>
        </w:tc>
        <w:tc>
          <w:tcPr>
            <w:tcW w:w="9255" w:type="dxa"/>
            <w:tcBorders>
              <w:bottom w:val="single" w:sz="12" w:space="0" w:color="000000"/>
            </w:tcBorders>
            <w:vAlign w:val="center"/>
          </w:tcPr>
          <w:p>
            <w:pPr>
              <w:pStyle w:val="TableContents"/>
              <w:bidi w:val="0"/>
              <w:spacing w:before="0" w:after="283"/>
              <w:jc w:val="both"/>
              <w:rPr>
                <w:b/>
              </w:rPr>
            </w:pPr>
            <w:r>
              <w:rPr>
                <w:b/>
              </w:rPr>
              <w:t>Exhibit Title</w:t>
            </w:r>
          </w:p>
        </w:tc>
      </w:tr>
      <w:tr>
        <w:trPr/>
        <w:tc>
          <w:tcPr>
            <w:tcW w:w="890" w:type="dxa"/>
            <w:tcBorders/>
            <w:shd w:fill="CCEEFF" w:val="clear"/>
            <w:tcMar>
              <w:bottom w:w="0" w:type="dxa"/>
            </w:tcMar>
            <w:vAlign w:val="center"/>
          </w:tcPr>
          <w:p>
            <w:pPr>
              <w:pStyle w:val="TableContents"/>
              <w:bidi w:val="0"/>
              <w:spacing w:before="0" w:after="283"/>
              <w:jc w:val="both"/>
              <w:rPr/>
            </w:pPr>
            <w:r>
              <w:rPr/>
              <w:t>5.1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716701ex5-1.htm">
              <w:r>
                <w:rPr>
                  <w:rStyle w:val="InternetLink"/>
                </w:rPr>
                <w:t>Opinion of Maples and Calder (Hong Kong) LLP</w:t>
              </w:r>
            </w:hyperlink>
          </w:p>
        </w:tc>
      </w:tr>
      <w:tr>
        <w:trPr/>
        <w:tc>
          <w:tcPr>
            <w:tcW w:w="890" w:type="dxa"/>
            <w:tcBorders/>
            <w:shd w:fill="FFFFFF" w:val="clear"/>
            <w:tcMar>
              <w:bottom w:w="0" w:type="dxa"/>
            </w:tcMar>
            <w:vAlign w:val="center"/>
          </w:tcPr>
          <w:p>
            <w:pPr>
              <w:pStyle w:val="TableContents"/>
              <w:bidi w:val="0"/>
              <w:spacing w:before="0" w:after="283"/>
              <w:jc w:val="both"/>
              <w:rPr/>
            </w:pPr>
            <w:r>
              <w:rPr/>
              <w:t>10.1</w:t>
            </w:r>
          </w:p>
        </w:tc>
        <w:tc>
          <w:tcPr>
            <w:tcW w:w="60" w:type="dxa"/>
            <w:tcBorders/>
            <w:shd w:fill="FFFFFF" w:val="clear"/>
            <w:tcMar>
              <w:bottom w:w="0" w:type="dxa"/>
            </w:tcMar>
            <w:vAlign w:val="center"/>
          </w:tcPr>
          <w:p>
            <w:pPr>
              <w:pStyle w:val="TableContents"/>
              <w:bidi w:val="0"/>
              <w:spacing w:before="0" w:after="283"/>
              <w:jc w:val="both"/>
              <w:rPr/>
            </w:pPr>
            <w:r>
              <w:rPr/>
              <w:t> </w:t>
            </w:r>
          </w:p>
        </w:tc>
        <w:tc>
          <w:tcPr>
            <w:tcW w:w="9255" w:type="dxa"/>
            <w:tcBorders/>
            <w:shd w:fill="FFFFFF" w:val="clear"/>
            <w:tcMar>
              <w:bottom w:w="0" w:type="dxa"/>
            </w:tcMar>
            <w:vAlign w:val="center"/>
          </w:tcPr>
          <w:p>
            <w:pPr>
              <w:pStyle w:val="TableContents"/>
              <w:bidi w:val="0"/>
              <w:spacing w:before="0" w:after="283"/>
              <w:jc w:val="both"/>
              <w:rPr/>
            </w:pPr>
            <w:hyperlink w:anchor="ea030716701ex10-1.htm">
              <w:r>
                <w:rPr>
                  <w:rStyle w:val="InternetLink"/>
                </w:rPr>
                <w:t>Form of Securities Purchase Agreement by and between Trident Digital Tech Holdings Ltd and the Investors</w:t>
              </w:r>
            </w:hyperlink>
          </w:p>
        </w:tc>
      </w:tr>
      <w:tr>
        <w:trPr/>
        <w:tc>
          <w:tcPr>
            <w:tcW w:w="890" w:type="dxa"/>
            <w:tcBorders/>
            <w:shd w:fill="CCEEFF" w:val="clear"/>
            <w:tcMar>
              <w:bottom w:w="0" w:type="dxa"/>
            </w:tcMar>
            <w:vAlign w:val="center"/>
          </w:tcPr>
          <w:p>
            <w:pPr>
              <w:pStyle w:val="TableContents"/>
              <w:bidi w:val="0"/>
              <w:spacing w:before="0" w:after="283"/>
              <w:jc w:val="both"/>
              <w:rPr/>
            </w:pPr>
            <w:r>
              <w:rPr/>
              <w:t>23.1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255" w:type="dxa"/>
            <w:tcBorders/>
            <w:shd w:fill="CCEEFF" w:val="clear"/>
            <w:tcMar>
              <w:bottom w:w="0" w:type="dxa"/>
            </w:tcMar>
            <w:vAlign w:val="center"/>
          </w:tcPr>
          <w:p>
            <w:pPr>
              <w:pStyle w:val="TableContents"/>
              <w:bidi w:val="0"/>
              <w:spacing w:before="0" w:after="283"/>
              <w:jc w:val="both"/>
              <w:rPr/>
            </w:pPr>
            <w:hyperlink w:anchor="ea030716701ex5-1.htm">
              <w:r>
                <w:rPr>
                  <w:rStyle w:val="InternetLink"/>
                </w:rPr>
                <w:t>Consent of Maples and Calder (Hong Kong) LLP (included in Exhibit 5.1)</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7220" w:type="dxa"/>
        <w:jc w:val="left"/>
        <w:tblInd w:w="0" w:type="dxa"/>
        <w:tblLayout w:type="fixed"/>
        <w:tblCellMar>
          <w:top w:w="0" w:type="dxa"/>
          <w:left w:w="0" w:type="dxa"/>
          <w:bottom w:w="0" w:type="dxa"/>
          <w:right w:w="0" w:type="dxa"/>
        </w:tblCellMar>
      </w:tblPr>
      <w:tblGrid>
        <w:gridCol w:w="2510"/>
        <w:gridCol w:w="365"/>
        <w:gridCol w:w="650"/>
        <w:gridCol w:w="3695"/>
      </w:tblGrid>
      <w:tr>
        <w:trPr/>
        <w:tc>
          <w:tcPr>
            <w:tcW w:w="2510" w:type="dxa"/>
            <w:tcBorders/>
            <w:vAlign w:val="center"/>
          </w:tcPr>
          <w:p>
            <w:pPr>
              <w:pStyle w:val="TableContents"/>
              <w:bidi w:val="0"/>
              <w:spacing w:before="0" w:after="283"/>
              <w:jc w:val="left"/>
              <w:rPr/>
            </w:pPr>
            <w:r>
              <w:rPr/>
              <w:t> </w:t>
            </w:r>
          </w:p>
        </w:tc>
        <w:tc>
          <w:tcPr>
            <w:tcW w:w="4710" w:type="dxa"/>
            <w:gridSpan w:val="3"/>
            <w:tcBorders/>
            <w:vAlign w:val="center"/>
          </w:tcPr>
          <w:p>
            <w:pPr>
              <w:pStyle w:val="TableContents"/>
              <w:bidi w:val="0"/>
              <w:spacing w:before="0" w:after="283"/>
              <w:jc w:val="left"/>
              <w:rPr>
                <w:b/>
              </w:rPr>
            </w:pPr>
            <w:r>
              <w:rPr>
                <w:b/>
              </w:rPr>
              <w:t>Trident Digital Tech Holdings Ltd</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4345" w:type="dxa"/>
            <w:gridSpan w:val="2"/>
            <w:tcBorders>
              <w:bottom w:val="single" w:sz="12" w:space="0" w:color="000000"/>
            </w:tcBorders>
            <w:tcMar>
              <w:bottom w:w="28" w:type="dxa"/>
            </w:tcMar>
            <w:vAlign w:val="center"/>
          </w:tcPr>
          <w:p>
            <w:pPr>
              <w:pStyle w:val="TableContents"/>
              <w:bidi w:val="0"/>
              <w:spacing w:before="0" w:after="283"/>
              <w:jc w:val="left"/>
              <w:rPr>
                <w:i/>
              </w:rPr>
            </w:pPr>
            <w:r>
              <w:rPr>
                <w:i/>
              </w:rPr>
              <w:t>/s/ Soon Huat Lim</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3695" w:type="dxa"/>
            <w:tcBorders/>
            <w:vAlign w:val="center"/>
          </w:tcPr>
          <w:p>
            <w:pPr>
              <w:pStyle w:val="TableContents"/>
              <w:bidi w:val="0"/>
              <w:spacing w:before="0" w:after="283"/>
              <w:jc w:val="left"/>
              <w:rPr/>
            </w:pPr>
            <w:r>
              <w:rPr/>
              <w:t>Soon Huat Lim</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3695" w:type="dxa"/>
            <w:tcBorders/>
            <w:vAlign w:val="center"/>
          </w:tcPr>
          <w:p>
            <w:pPr>
              <w:pStyle w:val="TableContents"/>
              <w:bidi w:val="0"/>
              <w:spacing w:before="0" w:after="283"/>
              <w:jc w:val="left"/>
              <w:rPr/>
            </w:pPr>
            <w:r>
              <w:rPr/>
              <w:t>Chairman and Chief Executive Officer</w:t>
            </w:r>
          </w:p>
        </w:tc>
      </w:tr>
      <w:tr>
        <w:trPr/>
        <w:tc>
          <w:tcPr>
            <w:tcW w:w="251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283"/>
              <w:jc w:val="left"/>
              <w:rPr/>
            </w:pPr>
            <w:r>
              <w:rPr/>
              <w:t>Date: September 30, 2026</w:t>
            </w:r>
          </w:p>
        </w:tc>
        <w:tc>
          <w:tcPr>
            <w:tcW w:w="36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10" w:right="0" w:hanging="0"/>
        <w:jc w:val="right"/>
        <w:rPr>
          <w:rFonts w:ascii="Times New Roman;Times;Serif" w:hAnsi="Times New Roman;Times;Serif"/>
          <w:b/>
          <w:i w:val="false"/>
          <w:caps w:val="false"/>
          <w:smallCaps w:val="false"/>
          <w:sz w:val="20"/>
        </w:rPr>
      </w:pPr>
      <w:bookmarkStart w:id="2" w:name="ea030716701ex5-1.htm"/>
      <w:bookmarkStart w:id="3" w:name="ksea030716701ex51"/>
      <w:bookmarkEnd w:id="2"/>
      <w:bookmarkEnd w:id="3"/>
      <w:r>
        <w:rPr>
          <w:rFonts w:ascii="Times New Roman;Times;Serif" w:hAnsi="Times New Roman;Times;Serif"/>
          <w:b/>
          <w:i w:val="false"/>
          <w:caps w:val="false"/>
          <w:smallCaps w:val="false"/>
          <w:sz w:val="20"/>
        </w:rPr>
        <w:t>Exhibit 5.1</w:t>
      </w:r>
      <w:r>
        <w:br w:type="page"/>
      </w:r>
    </w:p>
    <w:p>
      <w:pPr>
        <w:pStyle w:val="TextBody"/>
        <w:bidi w:val="0"/>
        <w:spacing w:before="0" w:after="0"/>
        <w:ind w:left="10" w:right="0" w:hanging="0"/>
        <w:jc w:val="left"/>
        <w:rPr>
          <w:caps w:val="false"/>
          <w:smallCaps w:val="false"/>
        </w:rPr>
      </w:pPr>
      <w:r>
        <w:rPr>
          <w:caps w:val="false"/>
          <w:smallCaps w:val="false"/>
        </w:rPr>
        <w:t> </w:t>
      </w:r>
    </w:p>
    <w:p>
      <w:pPr>
        <w:pStyle w:val="TextBody"/>
        <w:bidi w:val="0"/>
        <w:spacing w:before="0" w:after="0"/>
        <w:ind w:left="10" w:right="0" w:hanging="0"/>
        <w:jc w:val="left"/>
        <w:rPr>
          <w:caps w:val="false"/>
          <w:smallCaps w:val="false"/>
        </w:rPr>
      </w:pPr>
      <w:r>
        <w:rPr>
          <w:caps w:val="false"/>
          <w:smallCaps w:val="false"/>
        </w:rPr>
        <w:drawing>
          <wp:inline distT="0" distB="0" distL="0" distR="0">
            <wp:extent cx="923925" cy="866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923925"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165" w:type="dxa"/>
        <w:jc w:val="left"/>
        <w:tblInd w:w="0" w:type="dxa"/>
        <w:tblLayout w:type="fixed"/>
        <w:tblCellMar>
          <w:top w:w="0" w:type="dxa"/>
          <w:left w:w="0" w:type="dxa"/>
          <w:bottom w:w="0" w:type="dxa"/>
          <w:right w:w="0" w:type="dxa"/>
        </w:tblCellMar>
      </w:tblPr>
      <w:tblGrid>
        <w:gridCol w:w="800"/>
        <w:gridCol w:w="3365"/>
      </w:tblGrid>
      <w:tr>
        <w:trPr/>
        <w:tc>
          <w:tcPr>
            <w:tcW w:w="800" w:type="dxa"/>
            <w:tcBorders/>
            <w:vAlign w:val="center"/>
          </w:tcPr>
          <w:p>
            <w:pPr>
              <w:pStyle w:val="TableContents"/>
              <w:bidi w:val="0"/>
              <w:spacing w:before="0" w:after="283"/>
              <w:jc w:val="left"/>
              <w:rPr/>
            </w:pPr>
            <w:r>
              <w:rPr>
                <w:b/>
              </w:rPr>
              <w:t>Our</w:t>
            </w:r>
            <w:r>
              <w:rPr/>
              <w:t xml:space="preserve"> </w:t>
            </w:r>
            <w:r>
              <w:rPr>
                <w:b/>
              </w:rPr>
              <w:t>ref</w:t>
            </w:r>
          </w:p>
        </w:tc>
        <w:tc>
          <w:tcPr>
            <w:tcW w:w="3365" w:type="dxa"/>
            <w:tcBorders/>
            <w:vAlign w:val="center"/>
          </w:tcPr>
          <w:p>
            <w:pPr>
              <w:pStyle w:val="TableContents"/>
              <w:bidi w:val="0"/>
              <w:spacing w:before="0" w:after="283"/>
              <w:jc w:val="both"/>
              <w:rPr/>
            </w:pPr>
            <w:r>
              <w:rPr/>
              <w:t>SQG/821544-000003/87504353v2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 Box 309, Ugland House</w:t>
        <w:br/>
        <w:t>Grand Cayman, KY1-1104</w:t>
        <w:b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Trident Digital Tech Holdings Ltd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Cayman Islands legal advisers to Trident Digital Tech Holdings Ltd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Company’s registration statement on Form F-3, including all amendments or supplements thereto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on 11 August 2026 under the U.S. Securities Act of 1933, as amended to date, relating to the sale of certain number of Class B ordinary shares of the Company with a par value of US$0.0024 each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by the Company in accordance with the Securities Purchase Agreement dated 27 September 2026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furnishing this opinion and consent as Exhibits 5.1 and 23.1 to the Report of Foreign Private Issuer on Form 6-K to be filed by the Company relating to the Sales Agreement, which Report shall be incorporated by reference into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975" w:type="dxa"/>
        <w:jc w:val="left"/>
        <w:tblInd w:w="0" w:type="dxa"/>
        <w:tblLayout w:type="fixed"/>
        <w:tblCellMar>
          <w:top w:w="0" w:type="dxa"/>
          <w:left w:w="0" w:type="dxa"/>
          <w:bottom w:w="0" w:type="dxa"/>
          <w:right w:w="0" w:type="dxa"/>
        </w:tblCellMar>
      </w:tblPr>
      <w:tblGrid>
        <w:gridCol w:w="155"/>
        <w:gridCol w:w="1820"/>
      </w:tblGrid>
      <w:tr>
        <w:trPr/>
        <w:tc>
          <w:tcPr>
            <w:tcW w:w="155" w:type="dxa"/>
            <w:tcBorders/>
            <w:vAlign w:val="center"/>
          </w:tcPr>
          <w:p>
            <w:pPr>
              <w:pStyle w:val="TableContents"/>
              <w:bidi w:val="0"/>
              <w:spacing w:before="0" w:after="283"/>
              <w:jc w:val="left"/>
              <w:rPr>
                <w:b/>
              </w:rPr>
            </w:pPr>
            <w:r>
              <w:rPr>
                <w:b/>
              </w:rPr>
              <w:t>1</w:t>
            </w:r>
          </w:p>
        </w:tc>
        <w:tc>
          <w:tcPr>
            <w:tcW w:w="1820" w:type="dxa"/>
            <w:tcBorders/>
            <w:vAlign w:val="center"/>
          </w:tcPr>
          <w:p>
            <w:pPr>
              <w:pStyle w:val="TableContents"/>
              <w:bidi w:val="0"/>
              <w:spacing w:before="0" w:after="283"/>
              <w:jc w:val="both"/>
              <w:rPr>
                <w:b/>
                <w:sz w:val="20"/>
              </w:rPr>
            </w:pPr>
            <w:r>
              <w:rPr>
                <w:b/>
                <w:sz w:val="20"/>
              </w:rPr>
              <w:t>Documents Reviewed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opinion, we have reviewed only originals, copies or final drafts of the following documents: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1.1</w:t>
            </w:r>
          </w:p>
        </w:tc>
        <w:tc>
          <w:tcPr>
            <w:tcW w:w="9870" w:type="dxa"/>
            <w:tcBorders/>
            <w:vAlign w:val="center"/>
          </w:tcPr>
          <w:p>
            <w:pPr>
              <w:pStyle w:val="TableContents"/>
              <w:bidi w:val="0"/>
              <w:spacing w:before="0" w:after="283"/>
              <w:jc w:val="both"/>
              <w:rPr/>
            </w:pPr>
            <w:r>
              <w:rPr/>
              <w:t>The certificate of incorporation dated 12 June 2023 issued by the Registrar of Companies in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1.2</w:t>
            </w:r>
          </w:p>
        </w:tc>
        <w:tc>
          <w:tcPr>
            <w:tcW w:w="9870" w:type="dxa"/>
            <w:tcBorders/>
            <w:vAlign w:val="center"/>
          </w:tcPr>
          <w:p>
            <w:pPr>
              <w:pStyle w:val="TableContents"/>
              <w:bidi w:val="0"/>
              <w:spacing w:before="0" w:after="283"/>
              <w:jc w:val="both"/>
              <w:rPr/>
            </w:pPr>
            <w:r>
              <w:rPr/>
              <w:t>The third amended and restated memorandum and articles of association of the Company adopted by a special resolution passed on 8 July 2026 and effective on 16 July 2026 (the "</w:t>
            </w:r>
            <w:r>
              <w:rPr>
                <w:b/>
              </w:rPr>
              <w:t>Memorandum and Articles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1.3</w:t>
            </w:r>
          </w:p>
        </w:tc>
        <w:tc>
          <w:tcPr>
            <w:tcW w:w="9870" w:type="dxa"/>
            <w:tcBorders/>
            <w:vAlign w:val="center"/>
          </w:tcPr>
          <w:p>
            <w:pPr>
              <w:pStyle w:val="TableContents"/>
              <w:bidi w:val="0"/>
              <w:spacing w:before="0" w:after="283"/>
              <w:jc w:val="both"/>
              <w:rPr/>
            </w:pPr>
            <w:r>
              <w:rPr/>
              <w:t>The written resolutions of the board of directors of the Company dated 10 August 2026 and 23 September 2026 (the "</w:t>
            </w:r>
            <w:r>
              <w:rPr>
                <w:b/>
              </w:rPr>
              <w:t>Board Resolutions</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1.4</w:t>
            </w:r>
          </w:p>
        </w:tc>
        <w:tc>
          <w:tcPr>
            <w:tcW w:w="9870" w:type="dxa"/>
            <w:tcBorders/>
            <w:vAlign w:val="center"/>
          </w:tcPr>
          <w:p>
            <w:pPr>
              <w:pStyle w:val="TableContents"/>
              <w:bidi w:val="0"/>
              <w:spacing w:before="0" w:after="283"/>
              <w:jc w:val="both"/>
              <w:rPr/>
            </w:pPr>
            <w:r>
              <w:rPr/>
              <w:t>A certificate of good standing dated 5 August 2026, issued by the Registrar of Companies in the Cayman Islands (the "</w:t>
            </w:r>
            <w:r>
              <w:rPr>
                <w:b/>
              </w:rPr>
              <w:t>Certificate of Good Standing</w:t>
            </w:r>
            <w:r>
              <w:rPr/>
              <w:t>").</w:t>
            </w:r>
          </w:p>
        </w:tc>
      </w:tr>
    </w:tbl>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pPr>
            <w:r>
              <w:rPr/>
              <w:t>1.5</w:t>
            </w:r>
          </w:p>
        </w:tc>
        <w:tc>
          <w:tcPr>
            <w:tcW w:w="9870" w:type="dxa"/>
            <w:tcBorders/>
            <w:vAlign w:val="center"/>
          </w:tcPr>
          <w:p>
            <w:pPr>
              <w:pStyle w:val="TableContents"/>
              <w:bidi w:val="0"/>
              <w:spacing w:before="0" w:after="283"/>
              <w:jc w:val="both"/>
              <w:rPr/>
            </w:pPr>
            <w:r>
              <w:rPr/>
              <w:t>A certificate from a director of the Company, a copy of which is attached hereto (the "</w:t>
            </w:r>
            <w:r>
              <w:rPr>
                <w:b/>
              </w:rPr>
              <w:t>Director's Certificate</w:t>
            </w: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4248150" cy="1238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4248150" cy="12382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335"/>
        <w:gridCol w:w="2660"/>
      </w:tblGrid>
      <w:tr>
        <w:trPr/>
        <w:tc>
          <w:tcPr>
            <w:tcW w:w="335" w:type="dxa"/>
            <w:tcBorders/>
            <w:vAlign w:val="center"/>
          </w:tcPr>
          <w:p>
            <w:pPr>
              <w:pStyle w:val="TableContents"/>
              <w:bidi w:val="0"/>
              <w:spacing w:before="0" w:after="283"/>
              <w:jc w:val="left"/>
              <w:rPr/>
            </w:pPr>
            <w:r>
              <w:rPr/>
              <w:t>1.6</w:t>
            </w:r>
          </w:p>
        </w:tc>
        <w:tc>
          <w:tcPr>
            <w:tcW w:w="2660"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2470" w:type="dxa"/>
        <w:jc w:val="left"/>
        <w:tblInd w:w="0" w:type="dxa"/>
        <w:tblLayout w:type="fixed"/>
        <w:tblCellMar>
          <w:top w:w="0" w:type="dxa"/>
          <w:left w:w="0" w:type="dxa"/>
          <w:bottom w:w="0" w:type="dxa"/>
          <w:right w:w="0" w:type="dxa"/>
        </w:tblCellMar>
      </w:tblPr>
      <w:tblGrid>
        <w:gridCol w:w="335"/>
        <w:gridCol w:w="2135"/>
      </w:tblGrid>
      <w:tr>
        <w:trPr/>
        <w:tc>
          <w:tcPr>
            <w:tcW w:w="335" w:type="dxa"/>
            <w:tcBorders/>
            <w:vAlign w:val="center"/>
          </w:tcPr>
          <w:p>
            <w:pPr>
              <w:pStyle w:val="TableContents"/>
              <w:bidi w:val="0"/>
              <w:spacing w:before="0" w:after="283"/>
              <w:jc w:val="left"/>
              <w:rPr/>
            </w:pPr>
            <w:r>
              <w:rPr/>
              <w:t>1.7</w:t>
            </w:r>
          </w:p>
        </w:tc>
        <w:tc>
          <w:tcPr>
            <w:tcW w:w="2135" w:type="dxa"/>
            <w:tcBorders/>
            <w:vAlign w:val="center"/>
          </w:tcPr>
          <w:p>
            <w:pPr>
              <w:pStyle w:val="TableContents"/>
              <w:bidi w:val="0"/>
              <w:spacing w:before="0" w:after="283"/>
              <w:jc w:val="both"/>
              <w:rPr/>
            </w:pPr>
            <w:r>
              <w:rPr/>
              <w:t>The Sales Agreement.</w:t>
            </w:r>
          </w:p>
        </w:tc>
      </w:tr>
    </w:tbl>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155"/>
        <w:gridCol w:w="1340"/>
      </w:tblGrid>
      <w:tr>
        <w:trPr/>
        <w:tc>
          <w:tcPr>
            <w:tcW w:w="155" w:type="dxa"/>
            <w:tcBorders/>
            <w:vAlign w:val="center"/>
          </w:tcPr>
          <w:p>
            <w:pPr>
              <w:pStyle w:val="TableContents"/>
              <w:bidi w:val="0"/>
              <w:spacing w:before="0" w:after="283"/>
              <w:jc w:val="left"/>
              <w:rPr>
                <w:b/>
              </w:rPr>
            </w:pPr>
            <w:r>
              <w:rPr>
                <w:b/>
              </w:rPr>
              <w:t>2</w:t>
            </w:r>
          </w:p>
        </w:tc>
        <w:tc>
          <w:tcPr>
            <w:tcW w:w="1340" w:type="dxa"/>
            <w:tcBorders/>
            <w:vAlign w:val="center"/>
          </w:tcPr>
          <w:p>
            <w:pPr>
              <w:pStyle w:val="TableContents"/>
              <w:bidi w:val="0"/>
              <w:spacing w:before="0" w:after="283"/>
              <w:jc w:val="both"/>
              <w:rPr>
                <w:b/>
              </w:rPr>
            </w:pPr>
            <w:r>
              <w:rPr>
                <w:b/>
              </w:rPr>
              <w:t>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these opinions we have relied (without further verification) upon the completeness and accuracy, as of the date of this opinion letter, of the Director's Certificate and the Certificate of Good Standing. We have also relied upon the following assumptions, which we have not independently verified:</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2.1</w:t>
            </w:r>
          </w:p>
        </w:tc>
        <w:tc>
          <w:tcPr>
            <w:tcW w:w="9848" w:type="dxa"/>
            <w:tcBorders/>
            <w:vAlign w:val="center"/>
          </w:tcPr>
          <w:p>
            <w:pPr>
              <w:pStyle w:val="TableContents"/>
              <w:bidi w:val="0"/>
              <w:spacing w:before="0" w:after="283"/>
              <w:jc w:val="both"/>
              <w:rPr/>
            </w:pPr>
            <w:r>
              <w:rPr/>
              <w:t>Copies of documents, conformed copies or drafts of documents provided to us are true and complete copies of, or in the final forms of, the originals.</w:t>
            </w:r>
          </w:p>
        </w:tc>
      </w:tr>
    </w:tbl>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0" w:type="dxa"/>
        <w:tblLayout w:type="fixed"/>
        <w:tblCellMar>
          <w:top w:w="0" w:type="dxa"/>
          <w:left w:w="0" w:type="dxa"/>
          <w:bottom w:w="0" w:type="dxa"/>
          <w:right w:w="0" w:type="dxa"/>
        </w:tblCellMar>
      </w:tblPr>
      <w:tblGrid>
        <w:gridCol w:w="335"/>
        <w:gridCol w:w="4205"/>
      </w:tblGrid>
      <w:tr>
        <w:trPr/>
        <w:tc>
          <w:tcPr>
            <w:tcW w:w="335" w:type="dxa"/>
            <w:tcBorders/>
            <w:vAlign w:val="center"/>
          </w:tcPr>
          <w:p>
            <w:pPr>
              <w:pStyle w:val="TableContents"/>
              <w:bidi w:val="0"/>
              <w:spacing w:before="0" w:after="283"/>
              <w:jc w:val="left"/>
              <w:rPr/>
            </w:pPr>
            <w:r>
              <w:rPr/>
              <w:t>2.2</w:t>
            </w:r>
          </w:p>
        </w:tc>
        <w:tc>
          <w:tcPr>
            <w:tcW w:w="4205" w:type="dxa"/>
            <w:tcBorders/>
            <w:vAlign w:val="center"/>
          </w:tcPr>
          <w:p>
            <w:pPr>
              <w:pStyle w:val="TableContents"/>
              <w:bidi w:val="0"/>
              <w:spacing w:before="0" w:after="283"/>
              <w:jc w:val="both"/>
              <w:rPr/>
            </w:pPr>
            <w:r>
              <w:rPr/>
              <w:t>All signatures, initials and seals are genuine.</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2.3</w:t>
            </w:r>
          </w:p>
        </w:tc>
        <w:tc>
          <w:tcPr>
            <w:tcW w:w="9848" w:type="dxa"/>
            <w:tcBorders/>
            <w:vAlign w:val="center"/>
          </w:tcPr>
          <w:p>
            <w:pPr>
              <w:pStyle w:val="TableContents"/>
              <w:bidi w:val="0"/>
              <w:spacing w:before="0" w:after="283"/>
              <w:jc w:val="both"/>
              <w:rPr/>
            </w:pPr>
            <w:r>
              <w:rPr/>
              <w:t>There is nothing contained in the minute book or corporate records of the Company (which we have not inspected) which would or might affect the opinions set out below.</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2.4</w:t>
            </w:r>
          </w:p>
        </w:tc>
        <w:tc>
          <w:tcPr>
            <w:tcW w:w="9848" w:type="dxa"/>
            <w:tcBorders/>
            <w:vAlign w:val="center"/>
          </w:tcPr>
          <w:p>
            <w:pPr>
              <w:pStyle w:val="TableContents"/>
              <w:bidi w:val="0"/>
              <w:spacing w:before="0" w:after="283"/>
              <w:jc w:val="both"/>
              <w:rPr/>
            </w:pPr>
            <w:r>
              <w:rPr/>
              <w:t>There is nothing under any law (other than the law of the Cayman Islands), which would or might affect the opinions set out below.</w:t>
            </w:r>
          </w:p>
        </w:tc>
      </w:tr>
    </w:tbl>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155"/>
        <w:gridCol w:w="860"/>
      </w:tblGrid>
      <w:tr>
        <w:trPr/>
        <w:tc>
          <w:tcPr>
            <w:tcW w:w="155" w:type="dxa"/>
            <w:tcBorders/>
            <w:vAlign w:val="center"/>
          </w:tcPr>
          <w:p>
            <w:pPr>
              <w:pStyle w:val="TableContents"/>
              <w:bidi w:val="0"/>
              <w:spacing w:before="0" w:after="283"/>
              <w:jc w:val="left"/>
              <w:rPr>
                <w:b/>
              </w:rPr>
            </w:pPr>
            <w:r>
              <w:rPr>
                <w:b/>
              </w:rPr>
              <w:t>3</w:t>
            </w:r>
          </w:p>
        </w:tc>
        <w:tc>
          <w:tcPr>
            <w:tcW w:w="860" w:type="dxa"/>
            <w:tcBorders/>
            <w:vAlign w:val="center"/>
          </w:tcPr>
          <w:p>
            <w:pPr>
              <w:pStyle w:val="TableContents"/>
              <w:bidi w:val="0"/>
              <w:spacing w:before="0" w:after="283"/>
              <w:jc w:val="both"/>
              <w:rPr>
                <w:b/>
              </w:rPr>
            </w:pPr>
            <w:r>
              <w:rPr>
                <w:b/>
              </w:rPr>
              <w:t>Opinion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qualifications set out below and having regard to such legal considerations as we deem relevant, we are of the opinion that:</w:t>
      </w:r>
    </w:p>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3.1</w:t>
            </w:r>
          </w:p>
        </w:tc>
        <w:tc>
          <w:tcPr>
            <w:tcW w:w="9848" w:type="dxa"/>
            <w:tcBorders/>
            <w:vAlign w:val="center"/>
          </w:tcPr>
          <w:p>
            <w:pPr>
              <w:pStyle w:val="TableContents"/>
              <w:bidi w:val="0"/>
              <w:spacing w:before="0" w:after="283"/>
              <w:jc w:val="both"/>
              <w:rPr/>
            </w:pPr>
            <w:r>
              <w:rPr/>
              <w:t>The Company has been duly incorporated as an exempted company with limited liability and is validly existing and in good standing with the Registrar of Companies under the laws of the Cayman Islands.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3.2</w:t>
            </w:r>
          </w:p>
        </w:tc>
        <w:tc>
          <w:tcPr>
            <w:tcW w:w="9848" w:type="dxa"/>
            <w:tcBorders/>
            <w:vAlign w:val="center"/>
          </w:tcPr>
          <w:p>
            <w:pPr>
              <w:pStyle w:val="TableContents"/>
              <w:bidi w:val="0"/>
              <w:spacing w:before="0" w:after="283"/>
              <w:jc w:val="both"/>
              <w:rPr/>
            </w:pPr>
            <w:r>
              <w:rPr/>
              <w:t>The authorised share capital of the Company is US$1,200,000 divided into 500,000,000 shares of a par value of US$0.0024 each, comprising (i) 96,000,000 are designated as Class A Ordinary Shares of a par value of US$0.0024 each, (ii) 300,000,000 are designated as Class B Ordinary Shares of a par value of US$0.0024 each, (iii) 48,000,000 are designated as Class C Ordinary Shares of a par value of US$0.0024 each and (iv) 56,000,000 shares of a par value of US$0.0024 each of such class or classes (however designated) as the board of directors may determine in accordance with the Memorandum and Articles.</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3.3</w:t>
            </w:r>
          </w:p>
        </w:tc>
        <w:tc>
          <w:tcPr>
            <w:tcW w:w="9848" w:type="dxa"/>
            <w:tcBorders/>
            <w:vAlign w:val="center"/>
          </w:tcPr>
          <w:p>
            <w:pPr>
              <w:pStyle w:val="TableContents"/>
              <w:bidi w:val="0"/>
              <w:spacing w:before="0" w:after="283"/>
              <w:jc w:val="both"/>
              <w:rPr/>
            </w:pPr>
            <w:r>
              <w:rPr/>
              <w:t>The issue and allotment of the Shares have been duly authorised and when allotted, issued and paid for as contemplated in the Registration Statement and the Sales Agreement, the Shares will be legally issued and allotted, fully paid and non-assessable. As a matter of Cayman law, a share is only issued when it has been entered in the register of members (shareholders).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tbl>
      <w:tblPr>
        <w:tblW w:w="1585" w:type="dxa"/>
        <w:jc w:val="left"/>
        <w:tblInd w:w="0" w:type="dxa"/>
        <w:tblLayout w:type="fixed"/>
        <w:tblCellMar>
          <w:top w:w="0" w:type="dxa"/>
          <w:left w:w="0" w:type="dxa"/>
          <w:bottom w:w="0" w:type="dxa"/>
          <w:right w:w="0" w:type="dxa"/>
        </w:tblCellMar>
      </w:tblPr>
      <w:tblGrid>
        <w:gridCol w:w="155"/>
        <w:gridCol w:w="1430"/>
      </w:tblGrid>
      <w:tr>
        <w:trPr/>
        <w:tc>
          <w:tcPr>
            <w:tcW w:w="155" w:type="dxa"/>
            <w:tcBorders/>
            <w:vAlign w:val="center"/>
          </w:tcPr>
          <w:p>
            <w:pPr>
              <w:pStyle w:val="TableContents"/>
              <w:bidi w:val="0"/>
              <w:spacing w:before="0" w:after="283"/>
              <w:jc w:val="left"/>
              <w:rPr>
                <w:b/>
              </w:rPr>
            </w:pPr>
            <w:r>
              <w:rPr>
                <w:b/>
              </w:rPr>
              <w:t>4</w:t>
            </w:r>
          </w:p>
        </w:tc>
        <w:tc>
          <w:tcPr>
            <w:tcW w:w="1430" w:type="dxa"/>
            <w:tcBorders/>
            <w:vAlign w:val="center"/>
          </w:tcPr>
          <w:p>
            <w:pPr>
              <w:pStyle w:val="TableContents"/>
              <w:bidi w:val="0"/>
              <w:spacing w:before="0" w:after="283"/>
              <w:jc w:val="both"/>
              <w:rPr>
                <w:b/>
              </w:rPr>
            </w:pPr>
            <w:r>
              <w:rPr>
                <w:b/>
              </w:rPr>
              <w:t>Qualifications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above are subject to the following qualifications: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4.1</w:t>
            </w:r>
          </w:p>
        </w:tc>
        <w:tc>
          <w:tcPr>
            <w:tcW w:w="9848" w:type="dxa"/>
            <w:tcBorders/>
            <w:vAlign w:val="center"/>
          </w:tcPr>
          <w:p>
            <w:pPr>
              <w:pStyle w:val="TableContents"/>
              <w:bidi w:val="0"/>
              <w:spacing w:before="0" w:after="283"/>
              <w:jc w:val="both"/>
              <w:rPr/>
            </w:pPr>
            <w:r>
              <w:rPr/>
              <w:t>To maintain the Company in good standing under the laws of the Cayman Islands, annual filing fees must be paid and returns made to the Registrar of Companies within the time frame prescribed by law.</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4.2</w:t>
            </w:r>
          </w:p>
        </w:tc>
        <w:tc>
          <w:tcPr>
            <w:tcW w:w="9848" w:type="dxa"/>
            <w:tcBorders/>
            <w:vAlign w:val="center"/>
          </w:tcPr>
          <w:p>
            <w:pPr>
              <w:pStyle w:val="TableContents"/>
              <w:bidi w:val="0"/>
              <w:spacing w:before="0" w:after="283"/>
              <w:jc w:val="both"/>
              <w:rPr/>
            </w:pPr>
            <w:r>
              <w:rPr/>
              <w:t>Under the Companies Act, the register of members of a Cayman Islands company is by statute regarded as prima facie evidence of any matters which the Companies Act directs or authorises to be inserted therein. A third party interest in the shares in question would not appear. An entry in the register of members may yield to a court order for rectification (for example, in the event of fraud or manifest error).</w:t>
            </w:r>
          </w:p>
        </w:tc>
      </w:tr>
    </w:tbl>
    <w:p>
      <w:pPr>
        <w:pStyle w:val="TextBody"/>
        <w:bidi w:val="0"/>
        <w:spacing w:before="0" w:after="0"/>
        <w:ind w:left="720" w:right="0" w:hanging="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20"/>
        <w:gridCol w:w="9848"/>
      </w:tblGrid>
      <w:tr>
        <w:trPr/>
        <w:tc>
          <w:tcPr>
            <w:tcW w:w="3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4.3</w:t>
            </w:r>
          </w:p>
        </w:tc>
        <w:tc>
          <w:tcPr>
            <w:tcW w:w="9848" w:type="dxa"/>
            <w:tcBorders/>
            <w:vAlign w:val="center"/>
          </w:tcPr>
          <w:p>
            <w:pPr>
              <w:pStyle w:val="TableContents"/>
              <w:bidi w:val="0"/>
              <w:spacing w:before="0" w:after="283"/>
              <w:jc w:val="both"/>
              <w:rPr/>
            </w:pPr>
            <w:r>
              <w:rPr/>
              <w:t>In this opinion the phrase "non-assessable" means, with respect to shares in the Company, that a shareholder shall not, solely by virtue of its status as a shareholder and in absence of a contractual arrangement, or an obligation pursuant to the memorandum and articles of association, to the contrary, be liable for additional assessments or calls on the shares by the Company or its creditors (except in exceptional circumstances, such as involving fraud, the establishment of an agency relationship or an illegal or improper purpose or other circumstances in which a court may be prepared to pierce or lift the corporate veil).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specifically stated herein, we make no comment with respect to any representations and warranties which may be made by or with respect to the Company in any of the documents or instruments cited in this opinion or otherwise with respect to the commercial terms of the transactions, which are the subject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name under the headings "Enforceability of Civil Liabilities", "Taxation" and "Legal Matters" and elsewhere in the Registration Statement. In giving such consent, we do not thereby admit that we come within the category of persons whose consent is required under Section 7 of the U.S. Securities Act of 1933, as amended,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p>
      <w:pPr>
        <w:pStyle w:val="TextBody"/>
        <w:bidi w:val="0"/>
        <w:spacing w:before="0" w:after="0"/>
        <w:ind w:left="1" w:right="0" w:hanging="0"/>
        <w:jc w:val="left"/>
        <w:rPr>
          <w:caps w:val="false"/>
          <w:smallCaps w:val="false"/>
        </w:rPr>
      </w:pPr>
      <w:r>
        <w:rPr>
          <w:caps w:val="false"/>
          <w:smallCaps w:val="false"/>
        </w:rPr>
        <w:t> </w:t>
      </w:r>
    </w:p>
    <w:p>
      <w:pPr>
        <w:pStyle w:val="TextBody"/>
        <w:bidi w:val="0"/>
        <w:spacing w:before="0" w:after="0"/>
        <w:ind w:left="1"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Maples and Calder (Hong Kong)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4" w:name="ea030716701ex10-1.htm"/>
      <w:bookmarkStart w:id="5" w:name="ksea030716701ex101"/>
      <w:bookmarkEnd w:id="4"/>
      <w:bookmarkEnd w:id="5"/>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SECURITIES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as the same may hereafter be modified, supplemented, extended, amended, restated, or amended and restated from time to time), is entered into and made effective as of September , 2026 (the “</w:t>
      </w:r>
      <w:r>
        <w:rPr>
          <w:rFonts w:ascii="Times New Roman;Times;Serif" w:hAnsi="Times New Roman;Times;Serif"/>
          <w:b/>
          <w:i w:val="false"/>
          <w:caps w:val="false"/>
          <w:smallCaps w:val="false"/>
          <w:sz w:val="20"/>
        </w:rPr>
        <w:t>Effective Date</w:t>
      </w:r>
      <w:r>
        <w:rPr>
          <w:rFonts w:ascii="Times New Roman;Times;Serif" w:hAnsi="Times New Roman;Times;Serif"/>
          <w:b w:val="false"/>
          <w:i w:val="false"/>
          <w:caps w:val="false"/>
          <w:smallCaps w:val="false"/>
          <w:sz w:val="20"/>
        </w:rPr>
        <w:t>”), by and among Trident Digital Tech Holdings Ltd, an exempted company incorporated with limited liability under the laws of the Cayman Islands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and certain investors each executing this Agreement separately and whose name and investment details are set forth on the signature pages hereto (each an “Investor” and collectively, the “Investors”).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an effective Registration Statement (defined below)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the Company desires to issue and sell to each Investor, and each Investor, severally and not jointly, desires to purchase from the Company, securities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desires to issue and sell to each Investor, and each Investor desires to purchase from the Company, with each Investor’s investment amount set forth on such Investor’s signature page hereto, an aggregate of 30,000,000 Class B ordinary shares, par value US$0.0024 (the “</w:t>
      </w:r>
      <w:r>
        <w:rPr>
          <w:rFonts w:ascii="Times New Roman;Times;Serif" w:hAnsi="Times New Roman;Times;Serif"/>
          <w:b/>
          <w:i w:val="false"/>
          <w:caps w:val="false"/>
          <w:smallCaps w:val="false"/>
          <w:sz w:val="20"/>
        </w:rPr>
        <w:t>Shares</w:t>
      </w:r>
      <w:r>
        <w:rPr>
          <w:rFonts w:ascii="Times New Roman;Times;Serif" w:hAnsi="Times New Roman;Times;Serif"/>
          <w:b w:val="false"/>
          <w:i w:val="false"/>
          <w:caps w:val="false"/>
          <w:smallCaps w:val="false"/>
          <w:sz w:val="20"/>
        </w:rPr>
        <w:t>”), of the Company (the “</w:t>
      </w:r>
      <w:r>
        <w:rPr>
          <w:rFonts w:ascii="Times New Roman;Times;Serif" w:hAnsi="Times New Roman;Times;Serif"/>
          <w:b/>
          <w:i w:val="false"/>
          <w:caps w:val="false"/>
          <w:smallCaps w:val="false"/>
          <w:sz w:val="20"/>
        </w:rPr>
        <w:t>Class B Ordinary Shares</w:t>
      </w:r>
      <w:r>
        <w:rPr>
          <w:rFonts w:ascii="Times New Roman;Times;Serif" w:hAnsi="Times New Roman;Times;Serif"/>
          <w:b w:val="false"/>
          <w:i w:val="false"/>
          <w:caps w:val="false"/>
          <w:smallCaps w:val="false"/>
          <w:sz w:val="20"/>
        </w:rPr>
        <w:t>”), in accordance with the terms and conditions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of the parties hereinafter expressed and other good and valuable consideration, the receipt and sufficiency of which is hereby acknowledged, the parties hereto, each intending to be legally bound, agree as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recitals are true and correct and, together with the Exhibits and Schedules referred to hereafter, are incorporated into this Agreement by this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b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Agreement, except as otherwise expressly provided or otherwise defined elsewhere in this Agreement, or unless the context otherwise requires, the capitalized terms in this Agreement shall have the meanings assigned to them in this Article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Affiliate” </w:t>
      </w:r>
      <w:r>
        <w:rPr>
          <w:rFonts w:ascii="Times New Roman;Times;Serif" w:hAnsi="Times New Roman;Times;Serif"/>
          <w:b w:val="false"/>
          <w:i w:val="false"/>
          <w:caps w:val="false"/>
          <w:smallCaps w:val="false"/>
          <w:sz w:val="20"/>
        </w:rPr>
        <w:t>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Agreement” </w:t>
      </w:r>
      <w:r>
        <w:rPr>
          <w:rFonts w:ascii="Times New Roman;Times;Serif" w:hAnsi="Times New Roman;Times;Serif"/>
          <w:b w:val="false"/>
          <w:i w:val="false"/>
          <w:caps w:val="false"/>
          <w:smallCaps w:val="false"/>
          <w:sz w:val="20"/>
        </w:rPr>
        <w:t>shall have the meaning ascribed to such term in the Preamble.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Applicable Laws” </w:t>
      </w:r>
      <w:r>
        <w:rPr>
          <w:rFonts w:ascii="Times New Roman;Times;Serif" w:hAnsi="Times New Roman;Times;Serif"/>
          <w:b w:val="false"/>
          <w:i w:val="false"/>
          <w:caps w:val="false"/>
          <w:smallCaps w:val="false"/>
          <w:sz w:val="20"/>
        </w:rPr>
        <w:t>shall have the meaning ascribed to such term in Section 6.11.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Assets” </w:t>
      </w:r>
      <w:r>
        <w:rPr>
          <w:rFonts w:ascii="Times New Roman;Times;Serif" w:hAnsi="Times New Roman;Times;Serif"/>
          <w:b w:val="false"/>
          <w:i w:val="false"/>
          <w:caps w:val="false"/>
          <w:smallCaps w:val="false"/>
          <w:sz w:val="20"/>
        </w:rPr>
        <w:t>means all of the properties and assets of the Company and its Subsidiaries (as defined below), whether real, personal or mixed, tangible or intangible, wherever located, whether now owned or hereafter acquired.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Authorizations” </w:t>
      </w:r>
      <w:r>
        <w:rPr>
          <w:rFonts w:ascii="Times New Roman;Times;Serif" w:hAnsi="Times New Roman;Times;Serif"/>
          <w:b w:val="false"/>
          <w:i w:val="false"/>
          <w:caps w:val="false"/>
          <w:smallCaps w:val="false"/>
          <w:sz w:val="20"/>
        </w:rPr>
        <w:t>shall have the meaning ascribed to such term in Section 6.11.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Business Day” </w:t>
      </w:r>
      <w:r>
        <w:rPr>
          <w:rFonts w:ascii="Times New Roman;Times;Serif" w:hAnsi="Times New Roman;Times;Serif"/>
          <w:b w:val="false"/>
          <w:i w:val="false"/>
          <w:caps w:val="false"/>
          <w:smallCaps w:val="false"/>
          <w:sz w:val="20"/>
        </w:rPr>
        <w:t>means any day except any Saturday, any Sunday, any day which is a federal legal holiday in the United States, or any day on which banking institutions in the State of New York are authorized or required by law or other governmental action to close.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Charter” </w:t>
      </w:r>
      <w:r>
        <w:rPr>
          <w:rFonts w:ascii="Times New Roman;Times;Serif" w:hAnsi="Times New Roman;Times;Serif"/>
          <w:b w:val="false"/>
          <w:i w:val="false"/>
          <w:caps w:val="false"/>
          <w:smallCaps w:val="false"/>
          <w:sz w:val="20"/>
        </w:rPr>
        <w:t>shall have the meaning ascribed to such term in Section 6.6.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Claims” </w:t>
      </w:r>
      <w:r>
        <w:rPr>
          <w:rFonts w:ascii="Times New Roman;Times;Serif" w:hAnsi="Times New Roman;Times;Serif"/>
          <w:b w:val="false"/>
          <w:i w:val="false"/>
          <w:caps w:val="false"/>
          <w:smallCaps w:val="false"/>
          <w:sz w:val="20"/>
        </w:rPr>
        <w:t>means any Proceedings, Judgments, Obligations, known threats, losses, damages, deficiencies, settlements, assessments, charges, costs and expenses of any nature or kind.</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Closing” </w:t>
      </w:r>
      <w:r>
        <w:rPr>
          <w:rFonts w:ascii="Times New Roman;Times;Serif" w:hAnsi="Times New Roman;Times;Serif"/>
          <w:b w:val="false"/>
          <w:i w:val="false"/>
          <w:caps w:val="false"/>
          <w:smallCaps w:val="false"/>
          <w:sz w:val="20"/>
        </w:rPr>
        <w:t>means the closing of the purchase and sale of the Shares pursuant to Section 4.2.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Closing Date” </w:t>
      </w:r>
      <w:r>
        <w:rPr>
          <w:rFonts w:ascii="Times New Roman;Times;Serif" w:hAnsi="Times New Roman;Times;Serif"/>
          <w:b w:val="false"/>
          <w:i w:val="false"/>
          <w:caps w:val="false"/>
          <w:smallCaps w:val="false"/>
          <w:sz w:val="20"/>
        </w:rPr>
        <w:t>means the Trading Day on which all of the Transaction Documents have been executed and delivered by the applicable parties thereto, and all conditions precedent to (i) the Investors’ obligations to pay the Investment Amounts and (ii) the Company’s obligations to deliver the Shares, in each case, have been satisfied or waived, but in no event later than the fifteenth (15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following the Effective Date or as the parties otherwise mutually agree.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Class B Ordinary Shares” </w:t>
      </w:r>
      <w:r>
        <w:rPr>
          <w:rFonts w:ascii="Times New Roman;Times;Serif" w:hAnsi="Times New Roman;Times;Serif"/>
          <w:b w:val="false"/>
          <w:i w:val="false"/>
          <w:caps w:val="false"/>
          <w:smallCaps w:val="false"/>
          <w:sz w:val="20"/>
        </w:rPr>
        <w:t>shall have the meaning ascribed to such term in the Recitals.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Company” </w:t>
      </w:r>
      <w:r>
        <w:rPr>
          <w:rFonts w:ascii="Times New Roman;Times;Serif" w:hAnsi="Times New Roman;Times;Serif"/>
          <w:b w:val="false"/>
          <w:i w:val="false"/>
          <w:caps w:val="false"/>
          <w:smallCaps w:val="false"/>
          <w:sz w:val="20"/>
        </w:rPr>
        <w:t>shall have the meaning ascribed to such term in the Preamble.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 Wallet”</w:t>
      </w:r>
      <w:r>
        <w:rPr>
          <w:rFonts w:ascii="Times New Roman;Times;Serif" w:hAnsi="Times New Roman;Times;Serif"/>
          <w:b w:val="false"/>
          <w:i w:val="false"/>
          <w:caps w:val="false"/>
          <w:smallCaps w:val="false"/>
          <w:sz w:val="20"/>
        </w:rPr>
        <w:t xml:space="preserve"> means the digital asset wallet address(es) designated in writing by the Company to the Investors for the receipt of Digital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Contract” </w:t>
      </w:r>
      <w:r>
        <w:rPr>
          <w:rFonts w:ascii="Times New Roman;Times;Serif" w:hAnsi="Times New Roman;Times;Serif"/>
          <w:b w:val="false"/>
          <w:i w:val="false"/>
          <w:caps w:val="false"/>
          <w:smallCaps w:val="false"/>
          <w:sz w:val="20"/>
        </w:rPr>
        <w:t>means any written contract, agreement, order, or commitment of any nature whatsoever, including, any sales order, purchase order, lease, sublease, license agreement, services agreement, loan agreement, mortgage, security agreement, guarantee, management contract, employment agreement, consulting agreement, partnership agreement, shareholders agreement, buy-sell agreement, option, warrant, debenture, subscription, call, or put.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Digital Asset Amount”</w:t>
      </w:r>
      <w:r>
        <w:rPr>
          <w:rFonts w:ascii="Times New Roman;Times;Serif" w:hAnsi="Times New Roman;Times;Serif"/>
          <w:b w:val="false"/>
          <w:i w:val="false"/>
          <w:caps w:val="false"/>
          <w:smallCaps w:val="false"/>
          <w:sz w:val="20"/>
        </w:rPr>
        <w:t xml:space="preserve"> shall have the meaning ascribed to such term in Section 4.3.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Digital Assets”</w:t>
      </w:r>
      <w:r>
        <w:rPr>
          <w:rFonts w:ascii="Times New Roman;Times;Serif" w:hAnsi="Times New Roman;Times;Serif"/>
          <w:b w:val="false"/>
          <w:i w:val="false"/>
          <w:caps w:val="false"/>
          <w:smallCaps w:val="false"/>
          <w:sz w:val="20"/>
        </w:rPr>
        <w:t xml:space="preserve"> means USDT and USDC.</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Effective Date” </w:t>
      </w:r>
      <w:r>
        <w:rPr>
          <w:rFonts w:ascii="Times New Roman;Times;Serif" w:hAnsi="Times New Roman;Times;Serif"/>
          <w:b w:val="false"/>
          <w:i w:val="false"/>
          <w:caps w:val="false"/>
          <w:smallCaps w:val="false"/>
          <w:sz w:val="20"/>
        </w:rPr>
        <w:t>shall have the meaning ascribed to such term in the Preamble.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Encumbrance” </w:t>
      </w:r>
      <w:r>
        <w:rPr>
          <w:rFonts w:ascii="Times New Roman;Times;Serif" w:hAnsi="Times New Roman;Times;Serif"/>
          <w:b w:val="false"/>
          <w:i w:val="false"/>
          <w:caps w:val="false"/>
          <w:smallCaps w:val="false"/>
          <w:sz w:val="20"/>
        </w:rPr>
        <w:t>means any lien, security interest, pledge, mortgage, easement, leasehold, assessment, tax, covenant, restriction, reservation, conditional sale, prior assignment, or any other encumbrance, claim, burden, or charge of any nature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Exchange Act” </w:t>
      </w:r>
      <w:r>
        <w:rPr>
          <w:rFonts w:ascii="Times New Roman;Times;Serif" w:hAnsi="Times New Roman;Times;Serif"/>
          <w:b w:val="false"/>
          <w:i w:val="false"/>
          <w:caps w:val="false"/>
          <w:smallCaps w:val="false"/>
          <w:sz w:val="20"/>
        </w:rPr>
        <w:t>shall mean the Securities Exchange Act of 1934, as amended, and the rules and regulations promulgated thereunder.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Financial Statements” </w:t>
      </w:r>
      <w:r>
        <w:rPr>
          <w:rFonts w:ascii="Times New Roman;Times;Serif" w:hAnsi="Times New Roman;Times;Serif"/>
          <w:b w:val="false"/>
          <w:i w:val="false"/>
          <w:caps w:val="false"/>
          <w:smallCaps w:val="false"/>
          <w:sz w:val="20"/>
        </w:rPr>
        <w:t>shall have the meaning ascribed to such term in Section 6.13.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GAAP” </w:t>
      </w:r>
      <w:r>
        <w:rPr>
          <w:rFonts w:ascii="Times New Roman;Times;Serif" w:hAnsi="Times New Roman;Times;Serif"/>
          <w:b w:val="false"/>
          <w:i w:val="false"/>
          <w:caps w:val="false"/>
          <w:smallCaps w:val="false"/>
          <w:sz w:val="20"/>
        </w:rPr>
        <w:t>means generally accepted accounting principles, methods, and practices set forth in the opinions and pronouncements of the Accounting Principles Board and the American Institute of Certified Public Accountants, and statements and pronouncements of the Financial Accounting Standards Board, the SEC or of such other Person as may be approved by a significant segment of the U.S. accounting profession, or International Financial Reporting Standards as issued by the International Accounting Standards Board, in each case as of the date or period at issue, and as applicable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Governmental Authority” </w:t>
      </w:r>
      <w:r>
        <w:rPr>
          <w:rFonts w:ascii="Times New Roman;Times;Serif" w:hAnsi="Times New Roman;Times;Serif"/>
          <w:b w:val="false"/>
          <w:i w:val="false"/>
          <w:caps w:val="false"/>
          <w:smallCaps w:val="false"/>
          <w:sz w:val="20"/>
        </w:rPr>
        <w:t>means any foreign, federal, state, or local government, or any political subdivision thereof, or any court, agency or other body, organization, group, stock market, or exchange exercising any executive, legislative, judicial, quasi-judicial, regulatory, or administrative function of government.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Indemnified Party” </w:t>
      </w:r>
      <w:r>
        <w:rPr>
          <w:rFonts w:ascii="Times New Roman;Times;Serif" w:hAnsi="Times New Roman;Times;Serif"/>
          <w:b w:val="false"/>
          <w:i w:val="false"/>
          <w:caps w:val="false"/>
          <w:smallCaps w:val="false"/>
          <w:sz w:val="20"/>
        </w:rPr>
        <w:t>shall have the meaning ascribed to such term in Section 10.2.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Intellectual Property Rights” </w:t>
      </w:r>
      <w:r>
        <w:rPr>
          <w:rFonts w:ascii="Times New Roman;Times;Serif" w:hAnsi="Times New Roman;Times;Serif"/>
          <w:b w:val="false"/>
          <w:i w:val="false"/>
          <w:caps w:val="false"/>
          <w:smallCaps w:val="false"/>
          <w:sz w:val="20"/>
        </w:rPr>
        <w:t>shall have the meaning ascribed to such term in Section 6.15.</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Investment Amount” </w:t>
      </w:r>
      <w:r>
        <w:rPr>
          <w:rFonts w:ascii="Times New Roman;Times;Serif" w:hAnsi="Times New Roman;Times;Serif"/>
          <w:b w:val="false"/>
          <w:i w:val="false"/>
          <w:caps w:val="false"/>
          <w:smallCaps w:val="false"/>
          <w:sz w:val="20"/>
        </w:rPr>
        <w:t>shall have the meaning ascribed to such term in Section 4.1.</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Investor” </w:t>
      </w:r>
      <w:r>
        <w:rPr>
          <w:rFonts w:ascii="Times New Roman;Times;Serif" w:hAnsi="Times New Roman;Times;Serif"/>
          <w:b w:val="false"/>
          <w:i w:val="false"/>
          <w:caps w:val="false"/>
          <w:smallCaps w:val="false"/>
          <w:sz w:val="20"/>
        </w:rPr>
        <w:t>shall have the meaning ascribed to such term in the Preamble.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Investor Party</w:t>
      </w:r>
      <w:r>
        <w:rPr>
          <w:rFonts w:ascii="Times New Roman;Times;Serif" w:hAnsi="Times New Roman;Times;Serif"/>
          <w:b w:val="false"/>
          <w:i w:val="false"/>
          <w:caps w:val="false"/>
          <w:smallCaps w:val="false"/>
          <w:sz w:val="20"/>
        </w:rPr>
        <w:t xml:space="preserve">” shall have the meaning ascribed to such term in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Judgment” </w:t>
      </w:r>
      <w:r>
        <w:rPr>
          <w:rFonts w:ascii="Times New Roman;Times;Serif" w:hAnsi="Times New Roman;Times;Serif"/>
          <w:b w:val="false"/>
          <w:i w:val="false"/>
          <w:caps w:val="false"/>
          <w:smallCaps w:val="false"/>
          <w:sz w:val="20"/>
        </w:rPr>
        <w:t>means any final order, writ, injunction, fine, citation, award, decree, or any other judgment of any nature whatsoever of any Governmental Authority.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Law” </w:t>
      </w:r>
      <w:r>
        <w:rPr>
          <w:rFonts w:ascii="Times New Roman;Times;Serif" w:hAnsi="Times New Roman;Times;Serif"/>
          <w:b w:val="false"/>
          <w:i w:val="false"/>
          <w:caps w:val="false"/>
          <w:smallCaps w:val="false"/>
          <w:sz w:val="20"/>
        </w:rPr>
        <w:t>means any provision of any law, statute, ordinance, code, constitution, charter, treaty, rule, or regulation of any Governmental Authority applicable to the Company.</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Losses” </w:t>
      </w:r>
      <w:r>
        <w:rPr>
          <w:rFonts w:ascii="Times New Roman;Times;Serif" w:hAnsi="Times New Roman;Times;Serif"/>
          <w:b w:val="false"/>
          <w:i w:val="false"/>
          <w:caps w:val="false"/>
          <w:smallCaps w:val="false"/>
          <w:sz w:val="20"/>
        </w:rPr>
        <w:t>shall have the meaning ascribed to such term in Section 10.2.</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Material Adverse Change” </w:t>
      </w:r>
      <w:r>
        <w:rPr>
          <w:rFonts w:ascii="Times New Roman;Times;Serif" w:hAnsi="Times New Roman;Times;Serif"/>
          <w:b w:val="false"/>
          <w:i w:val="false"/>
          <w:caps w:val="false"/>
          <w:smallCaps w:val="false"/>
          <w:sz w:val="20"/>
        </w:rPr>
        <w:t xml:space="preserve">shall have the meaning ascribed to such term in Section 6.12.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Material Adverse Effect” </w:t>
      </w:r>
      <w:r>
        <w:rPr>
          <w:rFonts w:ascii="Times New Roman;Times;Serif" w:hAnsi="Times New Roman;Times;Serif"/>
          <w:b w:val="false"/>
          <w:i w:val="false"/>
          <w:caps w:val="false"/>
          <w:smallCaps w:val="false"/>
          <w:sz w:val="20"/>
        </w:rPr>
        <w:t>shall have the meaning ascribed to such term in Section 6.1.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NYSE” </w:t>
      </w:r>
      <w:r>
        <w:rPr>
          <w:rFonts w:ascii="Times New Roman;Times;Serif" w:hAnsi="Times New Roman;Times;Serif"/>
          <w:b w:val="false"/>
          <w:i w:val="false"/>
          <w:caps w:val="false"/>
          <w:smallCaps w:val="false"/>
          <w:sz w:val="20"/>
        </w:rPr>
        <w:t>means The NYSE American.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Obligation” </w:t>
      </w:r>
      <w:r>
        <w:rPr>
          <w:rFonts w:ascii="Times New Roman;Times;Serif" w:hAnsi="Times New Roman;Times;Serif"/>
          <w:b w:val="false"/>
          <w:i w:val="false"/>
          <w:caps w:val="false"/>
          <w:smallCaps w:val="false"/>
          <w:sz w:val="20"/>
        </w:rPr>
        <w:t>means any debt, liability, or obligation of any nature whatsoever, whether secured, unsecured, recourse, nonrecourse, liquidated, unliquidated, accrued, absolute, fixed, contingent, ascertained, unascertained, known, unknown, or obligations under executory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PCAOB” </w:t>
      </w:r>
      <w:r>
        <w:rPr>
          <w:rFonts w:ascii="Times New Roman;Times;Serif" w:hAnsi="Times New Roman;Times;Serif"/>
          <w:b w:val="false"/>
          <w:i w:val="false"/>
          <w:caps w:val="false"/>
          <w:smallCaps w:val="false"/>
          <w:sz w:val="20"/>
        </w:rPr>
        <w:t>shall have the meaning ascribed to such term in Section 6.8.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Permits” </w:t>
      </w:r>
      <w:r>
        <w:rPr>
          <w:rFonts w:ascii="Times New Roman;Times;Serif" w:hAnsi="Times New Roman;Times;Serif"/>
          <w:b w:val="false"/>
          <w:i w:val="false"/>
          <w:caps w:val="false"/>
          <w:smallCaps w:val="false"/>
          <w:sz w:val="20"/>
        </w:rPr>
        <w:t>shall have the meaning ascribed to such term in Section 6.14.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Person” </w:t>
      </w:r>
      <w:r>
        <w:rPr>
          <w:rFonts w:ascii="Times New Roman;Times;Serif" w:hAnsi="Times New Roman;Times;Serif"/>
          <w:b w:val="false"/>
          <w:i w:val="false"/>
          <w:caps w:val="false"/>
          <w:smallCaps w:val="false"/>
          <w:sz w:val="20"/>
        </w:rPr>
        <w:t>means any individual, sole proprietorship, joint venture, partnership, company, corporation, association, cooperation, trust, estate, Governmental Authority, or any other entity of any nature whatsoever.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Pre-Settlement Period” </w:t>
      </w:r>
      <w:r>
        <w:rPr>
          <w:rFonts w:ascii="Times New Roman;Times;Serif" w:hAnsi="Times New Roman;Times;Serif"/>
          <w:b w:val="false"/>
          <w:i w:val="false"/>
          <w:caps w:val="false"/>
          <w:smallCaps w:val="false"/>
          <w:sz w:val="20"/>
        </w:rPr>
        <w:t xml:space="preserve">shall have the meaning ascribed to such term in Section 4.2.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Pre-Settlement Shares” </w:t>
      </w:r>
      <w:r>
        <w:rPr>
          <w:rFonts w:ascii="Times New Roman;Times;Serif" w:hAnsi="Times New Roman;Times;Serif"/>
          <w:b w:val="false"/>
          <w:i w:val="false"/>
          <w:caps w:val="false"/>
          <w:smallCaps w:val="false"/>
          <w:sz w:val="20"/>
        </w:rPr>
        <w:t xml:space="preserve">shall have the meaning ascribed to such term in Section 4.2.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Principal Trading Market” </w:t>
      </w:r>
      <w:r>
        <w:rPr>
          <w:rFonts w:ascii="Times New Roman;Times;Serif" w:hAnsi="Times New Roman;Times;Serif"/>
          <w:b w:val="false"/>
          <w:i w:val="false"/>
          <w:caps w:val="false"/>
          <w:smallCaps w:val="false"/>
          <w:sz w:val="20"/>
        </w:rPr>
        <w:t>shall mean The NYSE American.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Proceeding” </w:t>
      </w:r>
      <w:r>
        <w:rPr>
          <w:rFonts w:ascii="Times New Roman;Times;Serif" w:hAnsi="Times New Roman;Times;Serif"/>
          <w:b w:val="false"/>
          <w:i w:val="false"/>
          <w:caps w:val="false"/>
          <w:smallCaps w:val="false"/>
          <w:sz w:val="20"/>
        </w:rPr>
        <w:t>means any demand, claim, suit, action, litigation, investigation, audit, study, arbitration, administrative hearing, or any other proceeding of any nature whatsoever.</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Prospectus” </w:t>
      </w:r>
      <w:r>
        <w:rPr>
          <w:rFonts w:ascii="Times New Roman;Times;Serif" w:hAnsi="Times New Roman;Times;Serif"/>
          <w:b w:val="false"/>
          <w:i w:val="false"/>
          <w:caps w:val="false"/>
          <w:smallCaps w:val="false"/>
          <w:sz w:val="20"/>
        </w:rPr>
        <w:t>means the final base prospectus filed for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Prospectus Supplement” </w:t>
      </w:r>
      <w:r>
        <w:rPr>
          <w:rFonts w:ascii="Times New Roman;Times;Serif" w:hAnsi="Times New Roman;Times;Serif"/>
          <w:b w:val="false"/>
          <w:i w:val="false"/>
          <w:caps w:val="false"/>
          <w:smallCaps w:val="false"/>
          <w:sz w:val="20"/>
        </w:rPr>
        <w:t>means the supplement to the Prospectus complying with Rule 424(b) of the Securities Act that is filed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Registration Statement” </w:t>
      </w:r>
      <w:r>
        <w:rPr>
          <w:rFonts w:ascii="Times New Roman;Times;Serif" w:hAnsi="Times New Roman;Times;Serif"/>
          <w:b w:val="false"/>
          <w:i w:val="false"/>
          <w:caps w:val="false"/>
          <w:smallCaps w:val="false"/>
          <w:sz w:val="20"/>
        </w:rPr>
        <w:t>means the Company’s registration statement on Form F-3 (File No. 333-298224), initially filed with the SEC on August 11, 2026, as amended by Amendment No. 1 filed with the SEC on August 25, 2026, and declared effective on August 27, 2026, including the prospectus contained therein and all exhibits and documents incorporated by reference therein, as amended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Rule 424” </w:t>
      </w:r>
      <w:r>
        <w:rPr>
          <w:rFonts w:ascii="Times New Roman;Times;Serif" w:hAnsi="Times New Roman;Times;Serif"/>
          <w:b w:val="false"/>
          <w:i w:val="false"/>
          <w:caps w:val="false"/>
          <w:smallCaps w:val="false"/>
          <w:sz w:val="20"/>
        </w:rPr>
        <w:t>means Rule 424 promulgated by the SEC pursuant to the Securities Act, as such Rule may be amended or interpreted from time to time, or any similar rule or regulation hereafter adopted by the SEC having substantially the same purpose and effect as such Rule.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 </w:t>
      </w:r>
      <w:r>
        <w:rPr>
          <w:rFonts w:ascii="Times New Roman;Times;Serif" w:hAnsi="Times New Roman;Times;Serif"/>
          <w:b w:val="false"/>
          <w:i w:val="false"/>
          <w:caps w:val="false"/>
          <w:smallCaps w:val="false"/>
          <w:sz w:val="20"/>
        </w:rPr>
        <w:t>means the United States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 Documents” </w:t>
      </w:r>
      <w:r>
        <w:rPr>
          <w:rFonts w:ascii="Times New Roman;Times;Serif" w:hAnsi="Times New Roman;Times;Serif"/>
          <w:b w:val="false"/>
          <w:i w:val="false"/>
          <w:caps w:val="false"/>
          <w:smallCaps w:val="false"/>
          <w:sz w:val="20"/>
        </w:rPr>
        <w:t>means all reports, schedules, forms, statements, and other documents filed or furnished by the Company under the Securities Act and the Exchange Act with the SEC from December 31, 2025 to the date hereof, and all exhibits included therein, financial statements and schedules thereto, and documents incorporated by reference therein.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Securities Act” </w:t>
      </w:r>
      <w:r>
        <w:rPr>
          <w:rFonts w:ascii="Times New Roman;Times;Serif" w:hAnsi="Times New Roman;Times;Serif"/>
          <w:b w:val="false"/>
          <w:i w:val="false"/>
          <w:caps w:val="false"/>
          <w:smallCaps w:val="false"/>
          <w:sz w:val="20"/>
        </w:rPr>
        <w:t>shall have the meaning ascribed to such term in the Recitals.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Share” or “Shares” </w:t>
      </w:r>
      <w:r>
        <w:rPr>
          <w:rFonts w:ascii="Times New Roman;Times;Serif" w:hAnsi="Times New Roman;Times;Serif"/>
          <w:b w:val="false"/>
          <w:i w:val="false"/>
          <w:caps w:val="false"/>
          <w:smallCaps w:val="false"/>
          <w:sz w:val="20"/>
        </w:rPr>
        <w:t>means that number of Class B Ordinary Shares set forth below such Investor’s name on such Investor’s signature page to this Agreement and issuable to such Investor pursuant to this Agreement, up to an aggregate of 30,000,000 Class B Ordinary Shares offered and issuable by the Company to all Investors.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Share Purchase Price” </w:t>
      </w:r>
      <w:r>
        <w:rPr>
          <w:rFonts w:ascii="Times New Roman;Times;Serif" w:hAnsi="Times New Roman;Times;Serif"/>
          <w:b w:val="false"/>
          <w:i w:val="false"/>
          <w:caps w:val="false"/>
          <w:smallCaps w:val="false"/>
          <w:sz w:val="20"/>
        </w:rPr>
        <w:t>means $0.5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Short Sales” </w:t>
      </w:r>
      <w:r>
        <w:rPr>
          <w:rFonts w:ascii="Times New Roman;Times;Serif" w:hAnsi="Times New Roman;Times;Serif"/>
          <w:b w:val="false"/>
          <w:i w:val="false"/>
          <w:caps w:val="false"/>
          <w:smallCaps w:val="false"/>
          <w:sz w:val="20"/>
        </w:rPr>
        <w:t>means all “short sales” as defined in Rule 200 of Regulation SHO under the Exchange Act (but shall not be deemed to include locating and/or borrowing Class B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Subsidiary” or “Subsidiaries” </w:t>
      </w:r>
      <w:r>
        <w:rPr>
          <w:rFonts w:ascii="Times New Roman;Times;Serif" w:hAnsi="Times New Roman;Times;Serif"/>
          <w:b w:val="false"/>
          <w:i w:val="false"/>
          <w:caps w:val="false"/>
          <w:smallCaps w:val="false"/>
          <w:sz w:val="20"/>
        </w:rPr>
        <w:t>means any entity of which the Company, directly or indirectly, owns or controls a majority of the outstanding equity securities or equivalent ownership interests, or has the power to direct the management and policies thereof, whether through ownership of voting securities, by contract or otherwise, as set forth in Schedule 6.2.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Tax” </w:t>
      </w:r>
      <w:r>
        <w:rPr>
          <w:rFonts w:ascii="Times New Roman;Times;Serif" w:hAnsi="Times New Roman;Times;Serif"/>
          <w:b w:val="false"/>
          <w:i w:val="false"/>
          <w:caps w:val="false"/>
          <w:smallCaps w:val="false"/>
          <w:sz w:val="20"/>
        </w:rPr>
        <w:t>means (i) any foreign, federal, state or local income, profits, gross receipts, franchise, sales, use, occupancy, general property, real property, personal property, intangible property, transfer, fuel, excise, accumulated earnings, personal holding company, unemployment compensation, social security, withholding taxes, payroll taxes, or any other tax of any nature whatsoever, (ii) any foreign, federal, state, or local organization fee, qualification fee, annual report fee, filing fee, occupation fee, assessment, rent, or any other fee or charge of any nature whatsoever, or (iii) any deficiency, interest, or penalty imposed with respect to any of the foregoing.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Trading Day” </w:t>
      </w:r>
      <w:r>
        <w:rPr>
          <w:rFonts w:ascii="Times New Roman;Times;Serif" w:hAnsi="Times New Roman;Times;Serif"/>
          <w:b w:val="false"/>
          <w:i w:val="false"/>
          <w:caps w:val="false"/>
          <w:smallCaps w:val="false"/>
          <w:sz w:val="20"/>
        </w:rPr>
        <w:t>means a day on which the principal Trading Market in the United States is open for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Transaction Documents” </w:t>
      </w:r>
      <w:r>
        <w:rPr>
          <w:rFonts w:ascii="Times New Roman;Times;Serif" w:hAnsi="Times New Roman;Times;Serif"/>
          <w:b w:val="false"/>
          <w:i w:val="false"/>
          <w:caps w:val="false"/>
          <w:smallCaps w:val="false"/>
          <w:sz w:val="20"/>
        </w:rPr>
        <w:t>means this Agreement and the other documents related to the transactions contemplated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Transfer Agent” </w:t>
      </w:r>
      <w:r>
        <w:rPr>
          <w:rFonts w:ascii="Times New Roman;Times;Serif" w:hAnsi="Times New Roman;Times;Serif"/>
          <w:b w:val="false"/>
          <w:i w:val="false"/>
          <w:caps w:val="false"/>
          <w:smallCaps w:val="false"/>
          <w:sz w:val="20"/>
        </w:rPr>
        <w:t>means VStock Transfer, LLC, the current transfer agent of the Company and any successor transfer agent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 xml:space="preserve">USDC” </w:t>
      </w:r>
      <w:r>
        <w:rPr>
          <w:rFonts w:ascii="Times New Roman;Times;Serif" w:hAnsi="Times New Roman;Times;Serif"/>
          <w:b w:val="false"/>
          <w:i w:val="false"/>
          <w:caps w:val="false"/>
          <w:smallCaps w:val="false"/>
          <w:sz w:val="20"/>
        </w:rPr>
        <w:t>means USD Coin, the stablecoin pegged to the value of the U.S. dollar.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val="false"/>
          <w:caps w:val="false"/>
          <w:smallCaps w:val="false"/>
          <w:sz w:val="20"/>
        </w:rPr>
        <w:t>USDT”</w:t>
      </w:r>
      <w:r>
        <w:rPr>
          <w:rFonts w:ascii="Times New Roman;Times;Serif" w:hAnsi="Times New Roman;Times;Serif"/>
          <w:b w:val="false"/>
          <w:i w:val="false"/>
          <w:caps w:val="false"/>
          <w:smallCaps w:val="false"/>
          <w:sz w:val="20"/>
        </w:rPr>
        <w:t xml:space="preserve"> means Tether, the stablecoin pegged to the value of the U.S. dollar.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INTERPRETATION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Agreement, unless the express context otherwise requires: (i) the words “herein,” “hereof,” and “hereunder” and words of similar import refer to this Agreement as a whole and not to any particular provision of this Agreement; (ii) references to the words “Article” or “Section” refer to the respective Articles and Sections of this Agreement, and references to “Exhibit” refer to the Exhibits annexed hereto; (iii) references to a “party” mean a party to this Agreement and include references to such party’s permitted successors and permitted assigns; (iv) references to a “third party” means a Person not a party to this Agreement; (v) the terms “dollars” and “$” means U.S. dollars; (vi) wherever the word “include,” “includes,” or “including” is used in this Agreement, it will be deemed to be followed by the words “without limitation.”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Sale and Issuance of Shares.</w:t>
      </w:r>
      <w:r>
        <w:rPr>
          <w:rFonts w:ascii="Times New Roman;Times;Serif" w:hAnsi="Times New Roman;Times;Serif"/>
          <w:b w:val="false"/>
          <w:i w:val="false"/>
          <w:caps w:val="false"/>
          <w:smallCaps w:val="false"/>
          <w:sz w:val="20"/>
        </w:rPr>
        <w:t xml:space="preserve"> Subject to the terms and conditions of this Agreement, each Investor agrees to purchase, and the Company agrees to sell and issue to each Investor, the Shares in the respective amount (“</w:t>
      </w:r>
      <w:r>
        <w:rPr>
          <w:rFonts w:ascii="Times New Roman;Times;Serif" w:hAnsi="Times New Roman;Times;Serif"/>
          <w:b/>
          <w:i w:val="false"/>
          <w:caps w:val="false"/>
          <w:smallCaps w:val="false"/>
          <w:sz w:val="20"/>
        </w:rPr>
        <w:t>Investment Amount</w:t>
      </w:r>
      <w:r>
        <w:rPr>
          <w:rFonts w:ascii="Times New Roman;Times;Serif" w:hAnsi="Times New Roman;Times;Serif"/>
          <w:b w:val="false"/>
          <w:i w:val="false"/>
          <w:caps w:val="false"/>
          <w:smallCaps w:val="false"/>
          <w:sz w:val="20"/>
        </w:rPr>
        <w:t>”) as set forth below such Investor’s name on such Investor’s signature page to this Agreement at a per Share price equal to the Share Purchase Price. Each Investor shall remit payment of the Investment Amount in United States Dollars, Tether (USDT), or USD Coin (USDC), as specified on such Investor’s signature page and accepted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Closing. On the Closing Date, upon the terms and subject to the conditions set forth herein, the Company agrees to sell, and the Investors, severally and not jointly, agree to purchase, an aggregate of 30,000,000 Shares at the Share Purchase Price. The Company shall deliver its respective Shares to each Investor as determined pursuant to Section 4.4, and the Company and each Investor shall deliver the other items set forth in Section 4.4 deliverable at the Closing. The failure of any Investor to deliver its Investment Amount shall not prevent the Closing from occurring with respect to the Company and the other Investors who have performed their obligations hereunder. Upon satisfaction of the covenants and conditions set forth in this Agreement, the Closing shall take place remotely by electronic transmission. Notwithstanding anything herein to the contrary, if at any time on or after the time of execution of this Agreement by the Company and an applicable Investor, through and including the time immediately prior to the Closing (the “Pre-Settlement Period”), such Investor sells to any Person all, or any portion, of the Shares to be issued hereunder to such Investor at the Closing (collectively, the “Pre-Settlement Shares”), such Investor shall, automatically hereunder (without any additional required actions by such Investor or the Company), be deemed to be unconditionally bound to purchase such Pre-Settlement Shares from the Company at the Closing; provided, that the Company shall not be required to deliver any Pre-Settlement Shares to such Investor prior to the Company’s receipt of the purchase price of such Pre-Settlement Shares hereunder; and provided further that the Company hereby acknowledges and agrees that the foregoing shall not constitute a representation or covenant by such Investor as to whether or not during the Pre-Settlement Period such Investor shall sell any Class B Ordinary Shares to any Person and that any such decision to sell any Class B Ordinary Shares by such Investor shall solely be made at the time such Investor elects to effect any such sale, if any; and provided further that any such pre-settlement sale shall be at such Investor’s sole risk and the Company shall have no liability in connection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Form of Payment; Delivery.</w:t>
      </w:r>
      <w:r>
        <w:rPr>
          <w:rFonts w:ascii="Times New Roman;Times;Serif" w:hAnsi="Times New Roman;Times;Serif"/>
          <w:b w:val="false"/>
          <w:i w:val="false"/>
          <w:caps w:val="false"/>
          <w:smallCaps w:val="false"/>
          <w:sz w:val="20"/>
        </w:rPr>
        <w:t xml:space="preserve"> Each Investor shall pay its Investment Amount at such Investor’s election as specified on such Investor’s signature page hereto, in (i) United States dollars by wire transfer of immediately available funds to the bank account designated by the Company, (ii) USDT, (iii) USDC, or (iv) any combination of the foregoing. If a Investor elects to pay all or any portion of its Investment Amount in Digital Assets, then, solely for purposes of determining whether such Investor’s Investment Amount has been paid in full, each 1.00 USDT and each 1.00 USDC actually received by the Company shall be valued at, and treated as functionally equivalent to, US$1.00, provided that (x) the Company receives the full applicable Digital Asset Amount and (y) at the time of receipt, the applicable Digital Asset’s market price, as determined by reference to CoinMarketCap or another reputable pricing source selected by the Company in its reasonable discretion, has not deviated from US$1.00 by more than one percent (1%). If the applicable Digital Asset’s market price has so deviated, the Company may, in its sole discretion, decline to accept such Digital Assets or require the Investor to deliver additional Digital Assets or United States dollars to cover any resulting shortfall. If the Company receives less than the applicable Digital Asset Amount, the Investor shall promptly pay the resulting shortfall in United States dollars or additional Digital Assets acceptable to the Company. The Investor shall transfer the applicable Digital Assets solely to the Company Wallet and solely on the blockchain network designated in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(Digital Asset Settlement Instructions) and shall verify the Company Wallet and applicable blockchain network in accordance with such </w:t>
      </w:r>
      <w:r>
        <w:rPr>
          <w:rFonts w:ascii="Times New Roman;Times;Serif" w:hAnsi="Times New Roman;Times;Serif"/>
          <w:b w:val="false"/>
          <w:i w:val="false"/>
          <w:caps w:val="false"/>
          <w:smallCaps w:val="false"/>
          <w:sz w:val="20"/>
          <w:u w:val="single"/>
        </w:rPr>
        <w:t xml:space="preserve">Exhibit A </w:t>
      </w:r>
      <w:r>
        <w:rPr>
          <w:rFonts w:ascii="Times New Roman;Times;Serif" w:hAnsi="Times New Roman;Times;Serif"/>
          <w:b w:val="false"/>
          <w:i w:val="false"/>
          <w:caps w:val="false"/>
          <w:smallCaps w:val="false"/>
          <w:sz w:val="20"/>
        </w:rPr>
        <w:t>prior to making any transfer. The Investor shall bear all gas, network, transaction and similar fees associated with any such transfer, and only the amount of Digital Assets actually received by the Company, net of all such fees, shall be credited against the Investor’s Investment Amount. Payment in Digital Assets shall be deemed made only when the Company has received the applicable Digital Assets in the Company Wallet and completed all applicable anti-money laundering and sanctions screening. The Company may decline to accept any Digital Assets that it determines, in its reasonable discretion, it is unable or unwilling to accept based on applicable anti-money laundering, sanctions, know-your-customer or source-of-funds requirements. The Company shall have no obligation to issue any Shares to an Investor unless and until such Investor’s Investment Amount has been paid in full and accepted by the Company. The Company may convert any Digital Assets it receives into United States dollars at its discretion. The portion of an Investor’s Investment Amount to be paid in Digital Assets is referred to herein as the “</w:t>
      </w:r>
      <w:r>
        <w:rPr>
          <w:rFonts w:ascii="Times New Roman;Times;Serif" w:hAnsi="Times New Roman;Times;Serif"/>
          <w:b w:val="false"/>
          <w:i w:val="false"/>
          <w:caps w:val="false"/>
          <w:smallCaps w:val="false"/>
          <w:sz w:val="20"/>
          <w:u w:val="single"/>
        </w:rPr>
        <w:t>Digital Asset Amount”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On or prior to the Closing Date, subject to the conditions precedent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8.2</w:t>
      </w:r>
      <w:r>
        <w:rPr>
          <w:rFonts w:ascii="Times New Roman;Times;Serif" w:hAnsi="Times New Roman;Times;Serif"/>
          <w:b w:val="false"/>
          <w:i w:val="false"/>
          <w:caps w:val="false"/>
          <w:smallCaps w:val="false"/>
          <w:sz w:val="20"/>
        </w:rPr>
        <w:t>, the Company shall deliver or cause to be delivered to each Investor the following:</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720" w:right="0" w:firstLine="14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 and</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copy of the Company’s instructions to the Transfer Agent instructing the Transfer Agent to deliver evidence of the issuance of such Investor’s Shares hereunder as held in DRS book-entry form by the Transfer Agent and registered in the name of such Investor, which evidence shall be reasonably satisfactory to such Investor.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On or prior to the Closing Date, subject to the conditions precedent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each Investor shall deliver or cause to be delivered to the Company the following:</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Investor; and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Investor’s Investment Amount.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 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Investor, for him/her/itself and for no other Investor, represents and warrants to the Company, that the statements contained in this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are true and correct as of the Effective Date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Investment Purpose and Own Account</w:t>
      </w:r>
      <w:r>
        <w:rPr>
          <w:rFonts w:ascii="Times New Roman;Times;Serif" w:hAnsi="Times New Roman;Times;Serif"/>
          <w:b w:val="false"/>
          <w:i w:val="false"/>
          <w:caps w:val="false"/>
          <w:smallCaps w:val="false"/>
          <w:sz w:val="20"/>
        </w:rPr>
        <w:t>. Each Investor is acquiring the Shares for his/her/its own account for investment only and has no present intention of distributing any of such Shares (this representation and warranty shall not limit such Investor’s right to sell the Shares pursuant to a registration statement or otherwise in compliance with applicable federal and state securities laws). Such Investor is acquiring the Shares hereunder in the ordinary course of its business.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Each Investor has been furnished with all materials relating to the business, finances, and operations of the Company and other information each Investor deemed material to making an informed investment decision regarding its purchase of the Shares which have been requested by each Investor. Each Investor acknowledges that Investor has reviewed the SEC Documents (as defined below), which are available on the SEC’s website (www.sec.gov) at no charge to each Investor. Each Investor acknowledges that the Investor may retrieve all SEC Documents from such website and each Investor’s access to such SEC Documents through such website shall constitute delivery of the SEC Documents to each Investor. Each Investor and Investor’s advisors, if any, have been afforded the opportunity to ask questions of the Company and its management. Each Investor has sought such accounting, legal, and tax advice as Investor has considered necessary to make an informed investment decision with respect to its acquisition of the Shares. Without limiting the foregoing, each Investor has carefully considered the potential risks relating to the Company and a purchase of the Shares, including those risks described in the SEC Documents, and Investor fully understands that the Shares are a speculative investment that involves a high degree of risk of loss of each Investor’s entire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No Governmental Review</w:t>
      </w:r>
      <w:r>
        <w:rPr>
          <w:rFonts w:ascii="Times New Roman;Times;Serif" w:hAnsi="Times New Roman;Times;Serif"/>
          <w:b w:val="false"/>
          <w:i w:val="false"/>
          <w:caps w:val="false"/>
          <w:smallCaps w:val="false"/>
          <w:sz w:val="20"/>
        </w:rPr>
        <w:t>. Each Investor understands that no United States federal or state Governmental Authority has passed on or made any recommendation or endorsement of the Shares, or the fairness or suitability of the investment in the Shares, nor have such Governmental Authorities passed upon or endorsed the merits of the offering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 This Agreement has been duly and validly authorized, executed, and delivered on behalf of each Investor and is a valid and binding agreement of each Investor, enforceable in accordance with its terms, except as such enforceability may be limited by general principles of equity or applicable bankruptcy, insolvency, reorganization, moratorium, liquidation, and other similar Laws relating to, or affecting generally, the enforcement of applicable creditors’ rights and remedies.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Organization and Authority of Investor</w:t>
      </w:r>
      <w:r>
        <w:rPr>
          <w:rFonts w:ascii="Times New Roman;Times;Serif" w:hAnsi="Times New Roman;Times;Serif"/>
          <w:b w:val="false"/>
          <w:i w:val="false"/>
          <w:caps w:val="false"/>
          <w:smallCaps w:val="false"/>
          <w:sz w:val="20"/>
        </w:rPr>
        <w:t>. Each Investor is an individual or is duly organized, validly existing, and in good standing under the laws of its jurisdiction of formation or incorporation. Each Investor has all necessary power and authority to enter into this Agreement, to carry out its obligations hereunder and to consummate the transactions contemplated hereby. The execution and delivery by each Investor of this Agreement, the performance by each Investor of its obligations hereunder, and the consummation by each Investor of the transactions contemplated hereby have been duly authorized by all requisite action on the part of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No Conflicts; Consents</w:t>
      </w:r>
      <w:r>
        <w:rPr>
          <w:rFonts w:ascii="Times New Roman;Times;Serif" w:hAnsi="Times New Roman;Times;Serif"/>
          <w:b w:val="false"/>
          <w:i w:val="false"/>
          <w:caps w:val="false"/>
          <w:smallCaps w:val="false"/>
          <w:sz w:val="20"/>
        </w:rPr>
        <w:t>. The execution, delivery, and performance by the Investor of this Agreement, and the consummation of the transactions contemplated hereby, do not and will not: (i) violate or conflict with any provision of the certificate of formation, limited liability company agreement, or other governing documents of the Investor; (ii) violate or conflict with any provision of any Law or Governmental Authority applicable to the Investor; (iii) require the consent, notice, or other action by any Person under, violate or conflict with, or result in the acceleration of any agreement to which Investor is a party; or (iv) require any consent, permit, Governmental Authority’s order, filing, or notice from, with or to any Governmental Authority; except, in the cases of clauses (ii) and (iii), where the violation, conflict, acceleration, or failure to obtain consent or give notice would not have a material adverse effect on each Investor’s ability to consummate the transactions contemplated hereby and, in the case of clause (iv), where such consent, permit, Governmental Authority’s order, filing, or notice which, in the aggregate, would not have a material adverse effect on each Investor’s ability to consummate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the Investor has not, nor has any Person acting on behalf of or pursuant to any understanding with the Investor, directly or indirectly executed any purchases or sales, including Short Sales, of the securities of the Company during the period commencing as of the time that the Investor first received a term sheet (written or oral) from the Company or any other Person representing the Company setting forth the material terms, which terms include definitive pricing terms, of the transactions contemplated hereunder and ending immediately prior to the execution hereof. Other than to other Persons party to this Agreement or to the Investor’s representatives, including, without limitation, its officers, directors, partners, legal and other advisors, employees, agents, and Affiliates, the Investor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to effect Short Sales or similar transactions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5.10 </w:t>
      </w:r>
      <w:r>
        <w:rPr>
          <w:rFonts w:ascii="Times New Roman;Times;Serif" w:hAnsi="Times New Roman;Times;Serif"/>
          <w:b w:val="false"/>
          <w:i w:val="false"/>
          <w:caps w:val="false"/>
          <w:smallCaps w:val="false"/>
          <w:sz w:val="20"/>
          <w:u w:val="single"/>
        </w:rPr>
        <w:t>Independent Advice</w:t>
      </w:r>
      <w:r>
        <w:rPr>
          <w:rFonts w:ascii="Times New Roman;Times;Serif" w:hAnsi="Times New Roman;Times;Serif"/>
          <w:b w:val="false"/>
          <w:i w:val="false"/>
          <w:caps w:val="false"/>
          <w:smallCaps w:val="false"/>
          <w:sz w:val="20"/>
        </w:rPr>
        <w:t>. Each Investor understands that nothing in this Agreement or any other materials presented by or on behalf of the Company to each Investor in connection with the purchase of the Shares constitutes legal, tax, or investment advice.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5.11 </w:t>
      </w:r>
      <w:r>
        <w:rPr>
          <w:rFonts w:ascii="Times New Roman;Times;Serif" w:hAnsi="Times New Roman;Times;Serif"/>
          <w:b w:val="false"/>
          <w:i w:val="false"/>
          <w:caps w:val="false"/>
          <w:smallCaps w:val="false"/>
          <w:sz w:val="20"/>
          <w:u w:val="single"/>
        </w:rPr>
        <w:t>No Brokers or Finders</w:t>
      </w:r>
      <w:r>
        <w:rPr>
          <w:rFonts w:ascii="Times New Roman;Times;Serif" w:hAnsi="Times New Roman;Times;Serif"/>
          <w:b w:val="false"/>
          <w:i w:val="false"/>
          <w:caps w:val="false"/>
          <w:smallCaps w:val="false"/>
          <w:sz w:val="20"/>
        </w:rPr>
        <w:t>. Except as previously disclosed to the Company prior to the date of this Agreement, neither such Investor nor any of its Affiliates has retained, utilized, or been represented by, or otherwise become obligated to, any broker, placement agent, financial advisor, or finder in connection with the transactions contemplated by this Agreement whose fees the Company would be required to pay.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5.12 </w:t>
      </w:r>
      <w:r>
        <w:rPr>
          <w:rFonts w:ascii="Times New Roman;Times;Serif" w:hAnsi="Times New Roman;Times;Serif"/>
          <w:b w:val="false"/>
          <w:i w:val="false"/>
          <w:caps w:val="false"/>
          <w:smallCaps w:val="false"/>
          <w:sz w:val="20"/>
          <w:u w:val="single"/>
        </w:rPr>
        <w:t>No Reliance</w:t>
      </w:r>
      <w:r>
        <w:rPr>
          <w:rFonts w:ascii="Times New Roman;Times;Serif" w:hAnsi="Times New Roman;Times;Serif"/>
          <w:b w:val="false"/>
          <w:i w:val="false"/>
          <w:caps w:val="false"/>
          <w:smallCaps w:val="false"/>
          <w:sz w:val="20"/>
        </w:rPr>
        <w:t>. The Investor acknowledges and agrees that (i) neither of the Company or its Subsidiaries nor any Person on behalf of the Company or its Subsidiaries is making any representations or warranties whatsoever, express or implied, beyond those expressly made by the Company in this Agreement and (ii) the Investor has not relied upon any other representations or warranties, express or implied, other than those expressly made by the Company in this Agreement and the information set forth in the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5.13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5.14 </w:t>
      </w:r>
      <w:r>
        <w:rPr>
          <w:rFonts w:ascii="Times New Roman;Times;Serif" w:hAnsi="Times New Roman;Times;Serif"/>
          <w:b w:val="false"/>
          <w:i w:val="false"/>
          <w:caps w:val="false"/>
          <w:smallCaps w:val="false"/>
          <w:sz w:val="20"/>
          <w:u w:val="single"/>
        </w:rPr>
        <w:t>No Intent to Effect a Change of Control</w:t>
      </w:r>
      <w:r>
        <w:rPr>
          <w:rFonts w:ascii="Times New Roman;Times;Serif" w:hAnsi="Times New Roman;Times;Serif"/>
          <w:b w:val="false"/>
          <w:i w:val="false"/>
          <w:caps w:val="false"/>
          <w:smallCaps w:val="false"/>
          <w:sz w:val="20"/>
        </w:rPr>
        <w:t>. Each Investor has no present intent to effect a “change of control” of the Company as such term is interpreted and understood under the rules promulgated pursuant to Section 13(d) of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5.15 </w:t>
      </w:r>
      <w:r>
        <w:rPr>
          <w:rFonts w:ascii="Times New Roman;Times;Serif" w:hAnsi="Times New Roman;Times;Serif"/>
          <w:b w:val="false"/>
          <w:i w:val="false"/>
          <w:caps w:val="false"/>
          <w:smallCaps w:val="false"/>
          <w:sz w:val="20"/>
          <w:u w:val="single"/>
        </w:rPr>
        <w:t>Anti-Money Laundering</w:t>
      </w:r>
      <w:r>
        <w:rPr>
          <w:rFonts w:ascii="Times New Roman;Times;Serif" w:hAnsi="Times New Roman;Times;Serif"/>
          <w:b w:val="false"/>
          <w:i w:val="false"/>
          <w:caps w:val="false"/>
          <w:smallCaps w:val="false"/>
          <w:sz w:val="20"/>
        </w:rPr>
        <w:t>. Each Investor has not, and to the Investor’s knowledge, none of his/her/its affiliates, directors, officers, managers, members, partners, shareholders, beneficial owners, employees, agents, or other persons acting on his/her/its behalf has (i) engaged in, is engaging in, or has attempted or conspired to engage in any money laundering, terrorist financing, or other activity in violation of applicable anti-money laundering, counter-terrorist financing, or financial recordkeeping laws, rules, or regulations, including without limitation the Bank Secrecy Act, the USA PATRIOT Act, and any other applicable laws or regulations of any applicable jurisdiction (collectively, “</w:t>
      </w:r>
      <w:r>
        <w:rPr>
          <w:rFonts w:ascii="Times New Roman;Times;Serif" w:hAnsi="Times New Roman;Times;Serif"/>
          <w:b/>
          <w:i w:val="false"/>
          <w:caps w:val="false"/>
          <w:smallCaps w:val="false"/>
          <w:sz w:val="20"/>
        </w:rPr>
        <w:t>AML Laws”</w:t>
      </w:r>
      <w:r>
        <w:rPr>
          <w:rFonts w:ascii="Times New Roman;Times;Serif" w:hAnsi="Times New Roman;Times;Serif"/>
          <w:b w:val="false"/>
          <w:i w:val="false"/>
          <w:caps w:val="false"/>
          <w:smallCaps w:val="false"/>
          <w:sz w:val="20"/>
        </w:rPr>
        <w:t>); (ii) been or is the subject of any investigation, inquiry, enforcement action, or proceeding by any governmental authority relating to money laundering, terrorist financing, or violations of AML Laws; (iii) received any notice or has any knowledge of any facts or circumstances that could reasonably be expected to result in any such investigation, inquiry, enforcement action, or proceeding; or (iv) been a person or entity with whom the Company is prohibited from dealing under AML Laws. Each Investor further represents and warrants that all funds used by the Investor in connection with the transactions contemplated by this Agreement are and will be derived from legitimate sources and not from, and will not be used to facilitate, money laundering, terrorist financing, or any other illegal activity, and that the Investor has implemented and maintains policies, procedures, and internal controls reasonably designed to ensure compliance with applicable AML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SEC Documents, the Company hereby makes the following representations and warranties to each Investor as of the Effective Date and the Closing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xml:space="preserve"> The Company has been duly incorporated and is validly existing as an exempted company with limited liability under the laws of the Cayman Islands, and each Subsidiary is duly organized, validly existing and, where applicable, in good standing under the laws of its jurisdiction of organization and is duly qualified to conduct business in each jurisdiction in which its ownership or lease of property or the conduct of its business requires such qualification, except where the failure to be so qualified or in good standing, as the case may be, could not reasonably be expected to result in: (i) a material adverse effect on the legality, validity or enforceability of any Transaction Document; (ii) a material adverse effect on the results of operations, assets, business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provided that a change in the market price or trading volume of the Class B Ordinary Shares alone shall not be deemed, in and of itself, to constitute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All direct and indirect Subsidiaries of the Company are set forth in </w:t>
      </w:r>
      <w:r>
        <w:rPr>
          <w:rFonts w:ascii="Times New Roman;Times;Serif" w:hAnsi="Times New Roman;Times;Serif"/>
          <w:b w:val="false"/>
          <w:i w:val="false"/>
          <w:caps w:val="false"/>
          <w:smallCaps w:val="false"/>
          <w:sz w:val="20"/>
          <w:u w:val="single"/>
        </w:rPr>
        <w:t>Schedule 6.2</w:t>
      </w:r>
      <w:r>
        <w:rPr>
          <w:rFonts w:ascii="Times New Roman;Times;Serif" w:hAnsi="Times New Roman;Times;Serif"/>
          <w:b w:val="false"/>
          <w:i w:val="false"/>
          <w:caps w:val="false"/>
          <w:smallCaps w:val="false"/>
          <w:sz w:val="20"/>
        </w:rPr>
        <w:t xml:space="preserve"> and are duly organized and in good standing under the laws of the place of organization or incorporation, and each Subsidiary is in good standing in each jurisdiction in which its ownership or lease of property or the conduct of business requires such qualification, except where the failure to qualify would not have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set forth in </w:t>
      </w:r>
      <w:r>
        <w:rPr>
          <w:rFonts w:ascii="Times New Roman;Times;Serif" w:hAnsi="Times New Roman;Times;Serif"/>
          <w:b w:val="false"/>
          <w:i w:val="false"/>
          <w:caps w:val="false"/>
          <w:smallCaps w:val="false"/>
          <w:sz w:val="20"/>
          <w:u w:val="single"/>
        </w:rPr>
        <w:t>Schedule 6.3</w:t>
      </w:r>
      <w:r>
        <w:rPr>
          <w:rFonts w:ascii="Times New Roman;Times;Serif" w:hAnsi="Times New Roman;Times;Serif"/>
          <w:b w:val="false"/>
          <w:i w:val="false"/>
          <w:caps w:val="false"/>
          <w:smallCaps w:val="false"/>
          <w:sz w:val="20"/>
        </w:rPr>
        <w:t xml:space="preserve"> is complete and accurate in all material respects. The description of the securities of the Company in the SEC Documents is complete and accurate in all material respects. Except as set forth in </w:t>
      </w:r>
      <w:r>
        <w:rPr>
          <w:rFonts w:ascii="Times New Roman;Times;Serif" w:hAnsi="Times New Roman;Times;Serif"/>
          <w:b w:val="false"/>
          <w:i w:val="false"/>
          <w:caps w:val="false"/>
          <w:smallCaps w:val="false"/>
          <w:sz w:val="20"/>
          <w:u w:val="single"/>
        </w:rPr>
        <w:t>Schedule 6.3</w:t>
      </w:r>
      <w:r>
        <w:rPr>
          <w:rFonts w:ascii="Times New Roman;Times;Serif" w:hAnsi="Times New Roman;Times;Serif"/>
          <w:b w:val="false"/>
          <w:i w:val="false"/>
          <w:caps w:val="false"/>
          <w:smallCaps w:val="false"/>
          <w:sz w:val="20"/>
        </w:rPr>
        <w:t xml:space="preserve"> , as of the date referred to therein, there are no share options, warrants, or other rights to purchase or otherwise acquire any authorized, but unissued Class B Ordinary Shares of the Company, or any security convertible or exercisable into Class B Ordinary Shares of the Company, or any contracts or commitments to issue or sell Class B Ordinary Shares or any such options, warrants, rights, or convertible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Class B Ordinary Shares</w:t>
      </w:r>
      <w:r>
        <w:rPr>
          <w:rFonts w:ascii="Times New Roman;Times;Serif" w:hAnsi="Times New Roman;Times;Serif"/>
          <w:b w:val="false"/>
          <w:i w:val="false"/>
          <w:caps w:val="false"/>
          <w:smallCaps w:val="false"/>
          <w:sz w:val="20"/>
        </w:rPr>
        <w:t>. The authorized Class B Ordinary Shares conform in all material respects to all statements relating thereto contained in the SEC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Authorization; Enforceability</w:t>
      </w:r>
      <w:r>
        <w:rPr>
          <w:rFonts w:ascii="Times New Roman;Times;Serif" w:hAnsi="Times New Roman;Times;Serif"/>
          <w:b w:val="false"/>
          <w:i w:val="false"/>
          <w:caps w:val="false"/>
          <w:smallCaps w:val="false"/>
          <w:sz w:val="20"/>
        </w:rPr>
        <w:t>. The Company has all corporate power and authority to enter into this Agreement and to carry out the provisions and conditions hereof. This Agreement has been duly authorized, executed, and delivered by the Company and is a legal, valid, and binding agreement of the Company enforceable in accordance with its terms, except to the extent that enforceability may be limited by bankruptcy, insolvency, reorganization, moratorium, or similar Laws affecting creditors’ rights generally and by general equitable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all ancillary documents, the consummation by the Company of the transactions herein and therein contemplated, and the compliance by the Company with the terms hereof and thereof do not and will not, with or without the giving of notice or the lapse of time or both: (i) result in a material breach of, or conflict with any of the terms and provisions of, or constitute a material default under, or result in the creation, modification, termination, or imposition of any lien, charge, or encumbrance upon any property or assets of the Company pursuant to the terms of any agreement or instrument to which the Company is a party; (ii) result in any material violation of the provisions of the Company’s Third Amended and Restated Memorandum and Articles of Association (as the same may be amended or restated from time to time, the “</w:t>
      </w:r>
      <w:r>
        <w:rPr>
          <w:rFonts w:ascii="Times New Roman;Times;Serif" w:hAnsi="Times New Roman;Times;Serif"/>
          <w:b/>
          <w:i w:val="false"/>
          <w:caps w:val="false"/>
          <w:smallCaps w:val="false"/>
          <w:sz w:val="20"/>
        </w:rPr>
        <w:t>Charter”</w:t>
      </w:r>
      <w:r>
        <w:rPr>
          <w:rFonts w:ascii="Times New Roman;Times;Serif" w:hAnsi="Times New Roman;Times;Serif"/>
          <w:b w:val="false"/>
          <w:i w:val="false"/>
          <w:caps w:val="false"/>
          <w:smallCaps w:val="false"/>
          <w:sz w:val="20"/>
        </w:rPr>
        <w:t>) of the Company; or (iii) violate any existing applicable law, rule, regulation, judgment, order, or decree of any Governmental Authority as of the date hereof that will result in a Material Adverse Effect.</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8</w:t>
      </w:r>
    </w:p>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Issuance of Shares; Registration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Shares are duly authorized and, when issued and paid for in accordance with the applicable Transaction Documents, will be duly and validly issued, fully paid and nonassessable (which means that no further sums are required to be paid by the holders thereof in connection with the issue thereof), free and clear of all Liens imposed by the Company. As of the date hereof, the Company has reserved and the Company shall continue to reserve and keep available at all times, free of preemptive rights, a sufficient number of Class B Ordinary Shares for the purpose of enabling the Company to issue Shares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has prepared and filed the Registration Statement in conformity with the requirements of the Securities Act, which Registration Statement became effective on August 27, 2026, including the Prospectus, the Prospectus Supplement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SEC, and no proceedings for that purpose have been instituted or, to the knowledge of the Company, are threatened by the SEC. The Company, if required by the rules and regulations of the Commission, shall file the Prospectus Supplement with the SEC pursuant to Rule 424(b). At the time the Registration Statement and any amendments thereto became effective, at the Effective Date and at the Closing Date, the Registration Statement and any amendments thereto conformed and will conform in all material respects to the requirements of the Securities Act. The Company was eligible to use Form F-3 at the time of filing the Registration Statement and is eligible to use Form F-3 on the Effective Date and the Closing Date, subject to the limitations set forth in General Instruction I.B.5 of Form F-3.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Independent Registered Public Accounting Firm.</w:t>
      </w:r>
      <w:r>
        <w:rPr>
          <w:rFonts w:ascii="Times New Roman;Times;Serif" w:hAnsi="Times New Roman;Times;Serif"/>
          <w:b w:val="false"/>
          <w:i w:val="false"/>
          <w:caps w:val="false"/>
          <w:smallCaps w:val="false"/>
          <w:sz w:val="20"/>
        </w:rPr>
        <w:t xml:space="preserve"> To the knowledge of the Company, HYYH CPA, LLC the auditor of the Company, and Marcum Asia CPAs LLP the former auditor of the Company, whose reports are included or incorporated by reference in the SEC Documents, is an independent registered public accounting firm as required by the Securities Act, the rules and regulations promulgated thereunder and the Public Company Accounting Oversight Board (the “PCAOB”).</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Enforceability of Agreements</w:t>
      </w:r>
      <w:r>
        <w:rPr>
          <w:rFonts w:ascii="Times New Roman;Times;Serif" w:hAnsi="Times New Roman;Times;Serif"/>
          <w:b w:val="false"/>
          <w:i w:val="false"/>
          <w:caps w:val="false"/>
          <w:smallCaps w:val="false"/>
          <w:sz w:val="20"/>
        </w:rPr>
        <w:t>. All agreements between the Company and third parties expressly referenced in the SEC Documents, to the knowledge of the Company, are legal, valid, and binding Obligations of the Company enforceable against the Company in accordance with their respective terms, except: (i) as such enforceability may be limited by bankruptcy, insolvency, reorganization, or similar laws affecting creditors’ rights generally; (ii) as enforceability of any indemnification or contribution provision may be limited under the federal and state securities laws; and (iii) that the remedy of specific performance and injunctive and other forms of equitable relief may be subject to the equitable defenses and to the discretion of the court before which any proceeding therefor may be brought.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No Violation or Default</w:t>
      </w:r>
      <w:r>
        <w:rPr>
          <w:rFonts w:ascii="Times New Roman;Times;Serif" w:hAnsi="Times New Roman;Times;Serif"/>
          <w:b w:val="false"/>
          <w:i w:val="false"/>
          <w:caps w:val="false"/>
          <w:smallCaps w:val="false"/>
          <w:sz w:val="20"/>
        </w:rPr>
        <w:t>. No default exists in the due performance and observance of any term, covenant, or condition of any material license, contract, indenture, mortgage, deed of trust, note, loan, or credit agreement, or any other agreement or instrument evidencing an obligation for borrowed money, or any other material agreement or instrument to which the Company is a party or by which the Company may be bound or to which any of the properties or assets of the Company is subject, and the Company is not in violation of any term or provision of its Charter, or in violation of any franchise, license, permit, applicable law, rule, regulation, judgment, or decree of any Governmental Authority, except for any such violation or default that would not, individually or in the aggregate,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Except as disclosed in the SEC Documents, the Company (i) is in material compliance with all statutes, rules, or regulations applicable to Company’s business (“</w:t>
      </w:r>
      <w:r>
        <w:rPr>
          <w:rFonts w:ascii="Times New Roman;Times;Serif" w:hAnsi="Times New Roman;Times;Serif"/>
          <w:b/>
          <w:i w:val="false"/>
          <w:caps w:val="false"/>
          <w:smallCaps w:val="false"/>
          <w:sz w:val="20"/>
        </w:rPr>
        <w:t>Applicable Laws”</w:t>
      </w:r>
      <w:r>
        <w:rPr>
          <w:rFonts w:ascii="Times New Roman;Times;Serif" w:hAnsi="Times New Roman;Times;Serif"/>
          <w:b w:val="false"/>
          <w:i w:val="false"/>
          <w:caps w:val="false"/>
          <w:smallCaps w:val="false"/>
          <w:sz w:val="20"/>
        </w:rPr>
        <w:t>); (ii) has not received any notice of adverse finding, warning letter, untitled letter, or other correspondence or notice from any other governmental authority alleging or asserting noncompliance with any Applicable Laws or any licenses, certificates, approvals, clearances, authorizations, permits, and supplements or amendments thereto required by any such Applicable Laws (“</w:t>
      </w:r>
      <w:r>
        <w:rPr>
          <w:rFonts w:ascii="Times New Roman;Times;Serif" w:hAnsi="Times New Roman;Times;Serif"/>
          <w:b/>
          <w:i w:val="false"/>
          <w:caps w:val="false"/>
          <w:smallCaps w:val="false"/>
          <w:sz w:val="20"/>
        </w:rPr>
        <w:t>Authorizations”</w:t>
      </w:r>
      <w:r>
        <w:rPr>
          <w:rFonts w:ascii="Times New Roman;Times;Serif" w:hAnsi="Times New Roman;Times;Serif"/>
          <w:b w:val="false"/>
          <w:i w:val="false"/>
          <w:caps w:val="false"/>
          <w:smallCaps w:val="false"/>
          <w:sz w:val="20"/>
        </w:rPr>
        <w:t>); (iii) possesses all material Authorizations and such Authorizations are valid and in full force and effect and are not in material violation of any term of any such Authorizations; (iv) has not received notice of any claim, action, suit, proceeding, hearing, enforcement, investigation, arbitration, or other action from any governmental authority or third party alleging that any business operation or activity is in violation of any Applicable Laws or Authorizations and has no knowledge that any such governmental authority or third party is considering any such claim, litigation, arbitration, action, suit, investigation, or proceeding; (v) has not received notice that any Governmental Authority has taken, is taking or intends to take action to limit, suspend, modify, or revoke any Authorizations and has no knowledge that any such governmental authority is considering such action; and (vi) has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correct on the date filed (or were corrected or supplemented by a subsequent submission), except, in the case of each of clauses (i) and (iii) above, for any such non-compliance or violation that would not, individually or in the aggregate, reasonably be expected to result in a Material Adverse Effect, and in the case of each of clauses (ii), (iv), (v), and (vi), for any notice or otherwise that would not, individually or in the aggregate, reasonably be expected to result in a Material Adverse Effect.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Subsequent to December 31, 2025 and except as otherwise disclosed in the SEC Documents: (i) there has been no material adverse change in the financial position or results of operations of the Company, nor any change or development that, singularly or in the aggregate, would involve a material adverse change or a prospective material adverse change, in or affecting the condition (financial or otherwise), results of operations, business, assets, or prospects of the Company (a “</w:t>
      </w:r>
      <w:r>
        <w:rPr>
          <w:rFonts w:ascii="Times New Roman;Times;Serif" w:hAnsi="Times New Roman;Times;Serif"/>
          <w:b/>
          <w:i w:val="false"/>
          <w:caps w:val="false"/>
          <w:smallCaps w:val="false"/>
          <w:sz w:val="20"/>
        </w:rPr>
        <w:t>Material Adverse Change”</w:t>
      </w:r>
      <w:r>
        <w:rPr>
          <w:rFonts w:ascii="Times New Roman;Times;Serif" w:hAnsi="Times New Roman;Times;Serif"/>
          <w:b w:val="false"/>
          <w:i w:val="false"/>
          <w:caps w:val="false"/>
          <w:smallCaps w:val="false"/>
          <w:sz w:val="20"/>
        </w:rPr>
        <w:t>); and (ii) except as disclosed in the SEC Documents, no officer or director of the Company has resigned from any position with the Company where such resignation would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financial statements included in the SEC Documents, including the notes thereto and supporting schedules included in the SEC Documents (the “</w:t>
      </w:r>
      <w:r>
        <w:rPr>
          <w:rFonts w:ascii="Times New Roman;Times;Serif" w:hAnsi="Times New Roman;Times;Serif"/>
          <w:b/>
          <w:i w:val="false"/>
          <w:caps w:val="false"/>
          <w:smallCaps w:val="false"/>
          <w:sz w:val="20"/>
        </w:rPr>
        <w:t>Financial Statements”</w:t>
      </w:r>
      <w:r>
        <w:rPr>
          <w:rFonts w:ascii="Times New Roman;Times;Serif" w:hAnsi="Times New Roman;Times;Serif"/>
          <w:b w:val="false"/>
          <w:i w:val="false"/>
          <w:caps w:val="false"/>
          <w:smallCaps w:val="false"/>
          <w:sz w:val="20"/>
        </w:rPr>
        <w:t>), fairly present, in all material respects and to the Company’s knowledge, the financial position and the results of operations of the Company at the dates and for the periods to which they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Consents and Permits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6.14</w:t>
      </w:r>
      <w:r>
        <w:rPr>
          <w:rFonts w:ascii="Times New Roman;Times;Serif" w:hAnsi="Times New Roman;Times;Serif"/>
          <w:b w:val="false"/>
          <w:i w:val="false"/>
          <w:caps w:val="false"/>
          <w:smallCaps w:val="false"/>
          <w:sz w:val="20"/>
        </w:rPr>
        <w:t xml:space="preserve"> and as described in the SEC Documents, the Company has all requisite corporate power and authority, and has all necessary authorizations, approvals, orders, licenses, certificates, and permits of and from all governmental regulatory officials and bodies that it needs as of the date hereof to conduct its business purpose as described in the SEC Documents (collectively, “</w:t>
      </w:r>
      <w:r>
        <w:rPr>
          <w:rFonts w:ascii="Times New Roman;Times;Serif" w:hAnsi="Times New Roman;Times;Serif"/>
          <w:b/>
          <w:i w:val="false"/>
          <w:caps w:val="false"/>
          <w:smallCaps w:val="false"/>
          <w:sz w:val="20"/>
        </w:rPr>
        <w:t>Permits”</w:t>
      </w:r>
      <w:r>
        <w:rPr>
          <w:rFonts w:ascii="Times New Roman;Times;Serif" w:hAnsi="Times New Roman;Times;Serif"/>
          <w:b w:val="false"/>
          <w:i w:val="false"/>
          <w:caps w:val="false"/>
          <w:smallCaps w:val="false"/>
          <w:sz w:val="20"/>
        </w:rPr>
        <w:t>), except for such Permits the failure of which to possess, obtain, or make the same would not reasonably be expected to result in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The Company and each of its Subsidiaries own or possesses or have valid rights to use all patents, patent applications, trademarks, service marks, trade names, trademark registrations, service mark registrations, copyrights, licenses, inventions, trade secrets, and similar rights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necessary for the conduct of the business of the Company and its Subsidiaries as currently carried on and as described in the SEC Documents, except where the failure to own, possess, or have such Intellectual Property Rights would not reasonably be expected, individually or in the aggregate, to have a Material Adverse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val="false"/>
          <w:caps w:val="false"/>
          <w:smallCaps w:val="false"/>
          <w:sz w:val="20"/>
          <w:u w:val="single"/>
        </w:rPr>
        <w:t>Certain Market Activities</w:t>
      </w:r>
      <w:r>
        <w:rPr>
          <w:rFonts w:ascii="Times New Roman;Times;Serif" w:hAnsi="Times New Roman;Times;Serif"/>
          <w:b w:val="false"/>
          <w:i w:val="false"/>
          <w:caps w:val="false"/>
          <w:smallCaps w:val="false"/>
          <w:sz w:val="20"/>
        </w:rPr>
        <w:t>. The Company has not taken, directly or indirectly, any action designed to, or that might be reasonably expected to cause or result in, stabilization or manipulation of the price of any securities of the Company to facilitate the sale or resale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Each of the Company and its Subsidiaries has filed all returns (as hereinafter defined) required to be filed with taxing authorities prior to the date hereof or has duly obtained extensions of time for the filing thereof, and each of the Company and its Subsidiaries has paid all taxes (as hereinafter defined) shown as due on such returns that were filed and has paid all taxes imposed on or assessed against the Company or such respective Subsidiary, except where the failure to file such returns or pay such taxes would not reasonably be expected, individually or in the aggregate, to have a Material Adverse Effect. The provisions for taxes payable, if any, shown on the financial statements filed with or as part of the SEC Documents are sufficient for all accrued and unpaid taxes, whether or not disputed, and for all periods to and including the dates of such consolidated financial statements. The term “</w:t>
      </w:r>
      <w:r>
        <w:rPr>
          <w:rFonts w:ascii="Times New Roman;Times;Serif" w:hAnsi="Times New Roman;Times;Serif"/>
          <w:b/>
          <w:i w:val="false"/>
          <w:caps w:val="false"/>
          <w:smallCaps w:val="false"/>
          <w:sz w:val="20"/>
        </w:rPr>
        <w:t xml:space="preserve">taxes” </w:t>
      </w:r>
      <w:r>
        <w:rPr>
          <w:rFonts w:ascii="Times New Roman;Times;Serif" w:hAnsi="Times New Roman;Times;Serif"/>
          <w:b w:val="false"/>
          <w:i w:val="false"/>
          <w:caps w:val="false"/>
          <w:smallCaps w:val="false"/>
          <w:sz w:val="20"/>
        </w:rPr>
        <w:t>means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whatever, together with any interest and any penalties, additions to tax or additional amounts with respect thereto. The term “</w:t>
      </w:r>
      <w:r>
        <w:rPr>
          <w:rFonts w:ascii="Times New Roman;Times;Serif" w:hAnsi="Times New Roman;Times;Serif"/>
          <w:b/>
          <w:i w:val="false"/>
          <w:caps w:val="false"/>
          <w:smallCaps w:val="false"/>
          <w:sz w:val="20"/>
        </w:rPr>
        <w:t xml:space="preserve">returns” </w:t>
      </w:r>
      <w:r>
        <w:rPr>
          <w:rFonts w:ascii="Times New Roman;Times;Serif" w:hAnsi="Times New Roman;Times;Serif"/>
          <w:b w:val="false"/>
          <w:i w:val="false"/>
          <w:caps w:val="false"/>
          <w:smallCaps w:val="false"/>
          <w:sz w:val="20"/>
        </w:rPr>
        <w:t>means all returns, declarations, reports, statements, and other documents required to be filed in respect to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6.18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6.19 </w:t>
      </w:r>
      <w:r>
        <w:rPr>
          <w:rFonts w:ascii="Times New Roman;Times;Serif" w:hAnsi="Times New Roman;Times;Serif"/>
          <w:b w:val="false"/>
          <w:i w:val="false"/>
          <w:caps w:val="false"/>
          <w:smallCaps w:val="false"/>
          <w:sz w:val="20"/>
          <w:u w:val="single"/>
        </w:rPr>
        <w:t xml:space="preserve">Reserved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6.20 </w:t>
      </w:r>
      <w:r>
        <w:rPr>
          <w:rFonts w:ascii="Times New Roman;Times;Serif" w:hAnsi="Times New Roman;Times;Serif"/>
          <w:b w:val="false"/>
          <w:i w:val="false"/>
          <w:caps w:val="false"/>
          <w:smallCaps w:val="false"/>
          <w:sz w:val="20"/>
          <w:u w:val="single"/>
        </w:rPr>
        <w:t>No Labor Disputes</w:t>
      </w:r>
      <w:r>
        <w:rPr>
          <w:rFonts w:ascii="Times New Roman;Times;Serif" w:hAnsi="Times New Roman;Times;Serif"/>
          <w:b w:val="false"/>
          <w:i w:val="false"/>
          <w:caps w:val="false"/>
          <w:smallCaps w:val="false"/>
          <w:sz w:val="20"/>
        </w:rPr>
        <w:t>. No labor dispute with the employees of the Company or any of its Subsidiaries, which are expected to result in a Material Adverse Effect, exists or is, to the Company’s knowledge, imminent.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6.21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The Company is not and, after receipt of payment for the Shares and the application of the proceeds therefrom, will not be required to register as an “investment company,” as defined in the Investment Company Act of 1940,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6.22 </w:t>
      </w:r>
      <w:r>
        <w:rPr>
          <w:rFonts w:ascii="Times New Roman;Times;Serif" w:hAnsi="Times New Roman;Times;Serif"/>
          <w:b w:val="false"/>
          <w:i w:val="false"/>
          <w:caps w:val="false"/>
          <w:smallCaps w:val="false"/>
          <w:sz w:val="20"/>
          <w:u w:val="single"/>
        </w:rPr>
        <w:t>Related-Party Transactions</w:t>
      </w:r>
      <w:r>
        <w:rPr>
          <w:rFonts w:ascii="Times New Roman;Times;Serif" w:hAnsi="Times New Roman;Times;Serif"/>
          <w:b w:val="false"/>
          <w:i w:val="false"/>
          <w:caps w:val="false"/>
          <w:smallCaps w:val="false"/>
          <w:sz w:val="20"/>
        </w:rPr>
        <w:t>. There are no business relationships or related party transactions involving the Company or any other person required to be described in the SEC Documents that have not been described as required under Regulation 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6.23 </w:t>
      </w:r>
      <w:r>
        <w:rPr>
          <w:rFonts w:ascii="Times New Roman;Times;Serif" w:hAnsi="Times New Roman;Times;Serif"/>
          <w:b w:val="false"/>
          <w:i w:val="false"/>
          <w:caps w:val="false"/>
          <w:smallCaps w:val="false"/>
          <w:sz w:val="20"/>
          <w:u w:val="single"/>
        </w:rPr>
        <w:t>Employment Matters</w:t>
      </w:r>
      <w:r>
        <w:rPr>
          <w:rFonts w:ascii="Times New Roman;Times;Serif" w:hAnsi="Times New Roman;Times;Serif"/>
          <w:b w:val="false"/>
          <w:i w:val="false"/>
          <w:caps w:val="false"/>
          <w:smallCaps w:val="false"/>
          <w:sz w:val="20"/>
        </w:rPr>
        <w:t>. The Company is in material compliance with all applicable Laws pertaining to employment and employment practices to the extent they relate to employees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6.24 </w:t>
      </w:r>
      <w:r>
        <w:rPr>
          <w:rFonts w:ascii="Times New Roman;Times;Serif" w:hAnsi="Times New Roman;Times;Serif"/>
          <w:b w:val="false"/>
          <w:i w:val="false"/>
          <w:caps w:val="false"/>
          <w:smallCaps w:val="false"/>
          <w:sz w:val="20"/>
          <w:u w:val="single"/>
        </w:rPr>
        <w:t>No Brokers or Finders</w:t>
      </w:r>
      <w:r>
        <w:rPr>
          <w:rFonts w:ascii="Times New Roman;Times;Serif" w:hAnsi="Times New Roman;Times;Serif"/>
          <w:b w:val="false"/>
          <w:i w:val="false"/>
          <w:caps w:val="false"/>
          <w:smallCaps w:val="false"/>
          <w:sz w:val="20"/>
        </w:rPr>
        <w:t xml:space="preserve">. Except as set forth in </w:t>
      </w:r>
      <w:r>
        <w:rPr>
          <w:rFonts w:ascii="Times New Roman;Times;Serif" w:hAnsi="Times New Roman;Times;Serif"/>
          <w:b w:val="false"/>
          <w:i w:val="false"/>
          <w:caps w:val="false"/>
          <w:smallCaps w:val="false"/>
          <w:sz w:val="20"/>
          <w:u w:val="single"/>
        </w:rPr>
        <w:t>Schedule 6.24</w:t>
      </w:r>
      <w:r>
        <w:rPr>
          <w:rFonts w:ascii="Times New Roman;Times;Serif" w:hAnsi="Times New Roman;Times;Serif"/>
          <w:b w:val="false"/>
          <w:i w:val="false"/>
          <w:caps w:val="false"/>
          <w:smallCaps w:val="false"/>
          <w:sz w:val="20"/>
        </w:rPr>
        <w:t>, none of the Company or any of its Subsidiaries has retained, utilized, or been represented by, or otherwise become obligated to, any broker, placement agent, financial advisor, or finder in connection with the transactions contemplated by any of the Transaction Documents whose fees the Investors would be required to pay.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COVENANTS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Best Efforts</w:t>
      </w:r>
      <w:r>
        <w:rPr>
          <w:rFonts w:ascii="Times New Roman;Times;Serif" w:hAnsi="Times New Roman;Times;Serif"/>
          <w:b w:val="false"/>
          <w:i w:val="false"/>
          <w:caps w:val="false"/>
          <w:smallCaps w:val="false"/>
          <w:sz w:val="20"/>
        </w:rPr>
        <w:t>. Each party shall use its commercially reasonable efforts to timely satisfy each of the conditions as provided in Articles VIII and IX of this Agreement prior to the Closing Date.</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 Reporting Status; Listing</w:t>
      </w:r>
      <w:r>
        <w:rPr>
          <w:rFonts w:ascii="Times New Roman;Times;Serif" w:hAnsi="Times New Roman;Times;Serif"/>
          <w:b w:val="false"/>
          <w:i w:val="false"/>
          <w:caps w:val="false"/>
          <w:smallCaps w:val="false"/>
          <w:sz w:val="20"/>
        </w:rPr>
        <w:t>. Until the earlier of six (6) months from the date hereof or when the Shares are no longer registered in the names of each Investor on the books and records of the Company, the Company shall: (i) file in a timely manner all reports required to be filed under the Securities Act, the Exchange Act, or any securities Laws and regulations thereof applicable to the Company of any state of the United States, or by the rules and regulations of the Principal Trading Market, and, if not otherwise publicly available, to provide a copy thereof to an Investor upon request; (ii) not terminate its status as an issuer required to file reports under the Exchange Act even if the Exchange Act or the rules and regulations thereunder would otherwise permit such termination unless in connection with a Sale Event (as defined below); (iii) if required by the rules and regulations of the Principal Trading Market, promptly secure the listing of any of the Shares upon the Principal Trading Market (subject to official notice of issuance) and, take all action under its control to maintain the continued listing, quotation, and trading of its Class B Ordinary Shares on the Principal Trading Market, and the Company shall comply in all material respects with the Company’s reporting, filing, and other Obligations under the bylaws or rules of the Principal Trading Market and such other Governmental Authorities,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 Public Disclosure of Investors</w:t>
      </w:r>
      <w:r>
        <w:rPr>
          <w:rFonts w:ascii="Times New Roman;Times;Serif" w:hAnsi="Times New Roman;Times;Serif"/>
          <w:b w:val="false"/>
          <w:i w:val="false"/>
          <w:caps w:val="false"/>
          <w:smallCaps w:val="false"/>
          <w:sz w:val="20"/>
        </w:rPr>
        <w:t>. The Company shall not publicly disclose the name of each Investor, or include the name of each Investor in any filing with the SEC or any regulatory agency or Principal Trading Market, without the prior written consent of such Investor except: (i) as required by federal securities law; or (ii) to the extent such disclosure is required by Law or Principal Trading Market regulations, in which case the Company shall provide Investors with prior written notice of such disclosure permitted under this clause (b)(ii).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Investor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Each Investor covenants that until such time as the transactions contemplated by this Agreement are publicly disclosed by the Company, the Investor will maintain the confidentiality of the existence and terms of this transaction (other than as disclosed to its legal and other representatives).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PRECEDENT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Conditions Precedent of Company and Investors</w:t>
      </w:r>
      <w:r>
        <w:rPr>
          <w:rFonts w:ascii="Times New Roman;Times;Serif" w:hAnsi="Times New Roman;Times;Serif"/>
          <w:b w:val="false"/>
          <w:i w:val="false"/>
          <w:caps w:val="false"/>
          <w:smallCaps w:val="false"/>
          <w:sz w:val="20"/>
        </w:rPr>
        <w:t>. The obligations of the Company and each of the Investors in connection with the Closing are subject to the satisfaction of the following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have obtained all governmental, regulatory, or third-party consents and approvals necessary for the sale of the Shares.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Company’s knowledge, no statute, rule, regulation, executive order, decree, ruling, or injunction shall have been enacted, entered, promulgated, or endorsed by any court or Governmental Authority of competent jurisdiction that prohibits the consummation of any of the transactions contemplated by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Trading in the Class B Ordinary Shares shall not have been suspended by the SEC or any Principal Trading Market (except for any suspensions of trading of not more than one (1) trading day solely to permit dissemination of material information regarding the Company) at any time since the date of execution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Conditions Precedent to Company’s Obligations to Sell</w:t>
      </w:r>
      <w:r>
        <w:rPr>
          <w:rFonts w:ascii="Times New Roman;Times;Serif" w:hAnsi="Times New Roman;Times;Serif"/>
          <w:b w:val="false"/>
          <w:i w:val="false"/>
          <w:caps w:val="false"/>
          <w:smallCaps w:val="false"/>
          <w:sz w:val="20"/>
        </w:rPr>
        <w:t xml:space="preserve">. The obligation of the Company hereunder to issue and sell the Shares to each Investor at the Closing is subject to the satisfaction, at or before the Closing Date, of each of the following conditions, in addition to the conditions precedent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these conditions are for the Company’s sole benefit and may be waived by the Company at any time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Each Investor’s representations and warranties shall be true and correct in all material respects (except to the extent that any of such representations and warranties are already qualified as to materiality in </w:t>
      </w:r>
      <w:r>
        <w:rPr>
          <w:rFonts w:ascii="Times New Roman;Times;Serif" w:hAnsi="Times New Roman;Times;Serif"/>
          <w:b w:val="false"/>
          <w:i w:val="false"/>
          <w:caps w:val="false"/>
          <w:smallCaps w:val="false"/>
          <w:sz w:val="20"/>
          <w:u w:val="single"/>
        </w:rPr>
        <w:t>Article V</w:t>
      </w:r>
      <w:r>
        <w:rPr>
          <w:rFonts w:ascii="Times New Roman;Times;Serif" w:hAnsi="Times New Roman;Times;Serif"/>
          <w:b w:val="false"/>
          <w:i w:val="false"/>
          <w:caps w:val="false"/>
          <w:smallCaps w:val="false"/>
          <w:sz w:val="20"/>
        </w:rPr>
        <w:t xml:space="preserve"> above, in which case, such representations and warranties shall be true and correct in all respects without further qualification) as of the date when made and as of the applicable Closing Date as though made at that time (except for representations and warranties that speak as of a specific date in which case they shall be accurate in all material respects (or, to the extent representations or warranties are qualified by materiality or Material Adverse Effect, in all respects) as of such date), and each Investor shall have performed, satisfied, and complied in all material respects with the covenants, agreements, and conditions required by this Agreement to be performed, satisfied, or complied with by each Investor at or prior to the applicable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Investor shall have delivered the items set forth in </w:t>
      </w:r>
      <w:r>
        <w:rPr>
          <w:rFonts w:ascii="Times New Roman;Times;Serif" w:hAnsi="Times New Roman;Times;Serif"/>
          <w:b w:val="false"/>
          <w:i w:val="false"/>
          <w:caps w:val="false"/>
          <w:smallCaps w:val="false"/>
          <w:sz w:val="20"/>
          <w:u w:val="single"/>
        </w:rPr>
        <w:t>Section 4.4(b)</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Each Investor shall have delivered to the Company an executed Investor Representation Letter substantially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Conditions Precedent to Each Investor’s Obligations to Purchase</w:t>
      </w:r>
      <w:r>
        <w:rPr>
          <w:rFonts w:ascii="Times New Roman;Times;Serif" w:hAnsi="Times New Roman;Times;Serif"/>
          <w:b w:val="false"/>
          <w:i w:val="false"/>
          <w:caps w:val="false"/>
          <w:smallCaps w:val="false"/>
          <w:sz w:val="20"/>
        </w:rPr>
        <w:t xml:space="preserve">. The obligation of each Investor hereunder to purchase the Shares at the Closing is subject to the satisfaction, at or before the Closing Date, of each of the following conditions, in addition to the conditions precedent set forth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these conditions are for each Investor’s sole benefit and may be waived by each Investor at any time in his, her, or its sole discretion: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the Company shall be true and correct in all material respects (except to the extent that any of such representations and warranties are already qualified as to materiality in Article VI above, in which case, such representations and warranties shall be true and correct in all respects without further qualification) as of the date when made and as of the Closing Date as though made at that time (except for representations and warranties that speak as of a specific date in which case they shall be accurate in all material respects (or, to the extent representations or warranties are qualified by materiality or Material Adverse Effect, in all respects) as of such date), and the Company shall have performed, satisfied, and complied in all material respects with the covenants, agreements, and conditions required by this Agreement to be performed, satisfied, or complied with by the Company at or prior to the Closing Date.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event shall have occurred since the Effective Date which has resulted in, or would reasonably be expected to result in, a Material Adverse Effect.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shall have delivered the items set forth in Section 4.4(a).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bdr w:val="single" w:sz="12" w:space="1" w:color="000000"/>
        </w:rPr>
      </w:pPr>
      <w:r>
        <w:rPr>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TERMINATION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obligations of the Company, on one hand, and the Investors, on the other hand, to effect the Closing shall terminate as follows: (i) upon the mutual written consent of the Company and all the Investors; or (ii) by either the Company or any Investor (with respect to itself only) if the other party materially breaches any of its representations, warranties, covenants, or agreements contained in this Agreement or the other Transaction Documents and such breach is not cured within fifteen (15) Business Days after written notice thereof to the breaching party, provided that the terminating party has not breached the Agreement and other Transaction Documents in any material respect. Nothing in this Article IX shall release any party from any liability for breach by such party of the terms and provisions of this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Shares for a period of twelve (12) months following the Closing Date, after which time they shall expire and be of no further force or effect; provided, however, that any claim for indemnification with respect to a breach thereof that is asserted in writing prior to such expiration shall survive until final resolution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Indemnification by Investor</w:t>
      </w:r>
      <w:r>
        <w:rPr>
          <w:rFonts w:ascii="Times New Roman;Times;Serif" w:hAnsi="Times New Roman;Times;Serif"/>
          <w:b w:val="false"/>
          <w:i w:val="false"/>
          <w:caps w:val="false"/>
          <w:smallCaps w:val="false"/>
          <w:sz w:val="20"/>
        </w:rPr>
        <w:t>. Subject to the other terms and conditions of this Article X, from and after the Closing, each Investor shall indemnify the Company and its directors, officers, shareholders, members, partners, employees, and agents (and any other Persons with a functionally equivalent role of a Person holding such titles notwithstanding a lack of such title or any other title), each Person who controls the Company, if any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an “</w:t>
      </w:r>
      <w:r>
        <w:rPr>
          <w:rFonts w:ascii="Times New Roman;Times;Serif" w:hAnsi="Times New Roman;Times;Serif"/>
          <w:b/>
          <w:i w:val="false"/>
          <w:caps w:val="false"/>
          <w:smallCaps w:val="false"/>
          <w:sz w:val="20"/>
        </w:rPr>
        <w:t>Indemnified Party”</w:t>
      </w:r>
      <w:r>
        <w:rPr>
          <w:rFonts w:ascii="Times New Roman;Times;Serif" w:hAnsi="Times New Roman;Times;Serif"/>
          <w:b w:val="false"/>
          <w:i w:val="false"/>
          <w:caps w:val="false"/>
          <w:smallCaps w:val="false"/>
          <w:sz w:val="20"/>
        </w:rPr>
        <w:t>) harmless from any and all losses, liabilities, obligations, claims against, and shall hold the Company or the applicable party harmless from and against, any and all Losses incurred or sustained by, or imposed upon, the Company or the applicable party based upon, arising out of or with respect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inaccuracy in or breach of any of the representations or warranties of an Investor contained in this Agreement;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breach or non-fulfillment of any covenant, agreement, or obligation to be performed by an Investor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 Certain Limitations. The indemnification provided for in Section 10.2 shall be subject to the following limitations: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Payments pursuant to this </w:t>
      </w:r>
      <w:r>
        <w:rPr>
          <w:rFonts w:ascii="Times New Roman;Times;Serif" w:hAnsi="Times New Roman;Times;Serif"/>
          <w:b w:val="false"/>
          <w:i w:val="false"/>
          <w:caps w:val="false"/>
          <w:smallCaps w:val="false"/>
          <w:sz w:val="20"/>
          <w:u w:val="single"/>
        </w:rPr>
        <w:t>Article X</w:t>
      </w:r>
      <w:r>
        <w:rPr>
          <w:rFonts w:ascii="Times New Roman;Times;Serif" w:hAnsi="Times New Roman;Times;Serif"/>
          <w:b w:val="false"/>
          <w:i w:val="false"/>
          <w:caps w:val="false"/>
          <w:smallCaps w:val="false"/>
          <w:sz w:val="20"/>
        </w:rPr>
        <w:t xml:space="preserve"> in respect of any Loss shall be limited to the amount of any liability or damage that remains after deducting therefrom any insurance proceeds and any indemnity, contribution, or other similar payment received or reasonably expected to be received by the indemnified party in respect of any such claim. The indemnified party shall use its commercially reasonable efforts to recover under insurance policies or indemnity, contribution, or other similar agreements for any Losses prior to seeking indemnification under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Indemnified Party shall take all reasonable steps to mitigate any Loss upon becoming aware of any event or circumstance that would be reasonably expected to, or does, give rise thereto, including incurring costs only to the minimum extent necessary to remedy the breach that gives rise to such Loss.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of request, demand, and other communications hereunder shall be addressed to the parties hereto as follows, unless the address is changed by the party by like notice given to the other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 Trident Digital Tech Holdings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Temasek Boulevard Road, #24-03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038988</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Soon Huat Lim, Executive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each Investor based on the information set forth on the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each Investor: signature page to this Agreement attached 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shall be in writing and shall be deemed delivered: (i) if mailed by certified mail, return receipt requested, postage prepaid, and properly addressed to the address below, then three (3) Business Day after deposit of same in a regularly maintained U.S. Mail receptacle; or (ii) if mailed by Federal Express, United Parcel Service (UPS), or other nationally recognized overnight courier service, next business morning delivery, then one (1) Business Day after deposit of same in a regularly maintained receptacle of such overnight courier; or (iii) if hand delivered, then upon hand delivery thereof to the address indicated on or prior to 5:00 p.m., New York time, on a Business Day. Any notice hand delivered after 5:00 p.m., New York time, shall be deemed delivered on the following Business Day. Notwithstanding the foregoing, notice, consents, waivers, or other communications referred to in this Agreement may be sent by facsimile, e-mail, or other method of delivery, but shall be deemed to have been delivered only when the sending party has confirmed (by reply e-mail or some other form of written confirmation from the receiving party) that the notice has been received by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xml:space="preserve">. This Agreement, including the Schedules attached hereto and the documents delivered pursuant hereto, set forth all the promises, covenants, agreements, conditions, and understandings between the parties hereto with respect to the subject matter hereof and thereof, and supersede all prior and contemporaneous agreements, understandings, inducements, or conditions, expressed or implied, oral or written, except as contained herein;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except as explicitly stated herein, nothing contained in this Agreement shall (or shall be deemed to) (i) have any effect on any agreements each Investor has entered into with, or any instruments each Investor has received from, the Company prior to the date hereof with respect to any prior investment made by each Investor in the Company or (ii) waive, alter, modify, or amend in any respect any Obligations of the Company, or any rights of or benefits to each Investor or any other Person, in any agreement entered into prior to the date hereof between or among the Company and each Investor, or any instruments each Investor received from the Company prior to the date hereof, and all such agreements and instruments shall continue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and any and all rights, duties, and Obligations hereunder, shall not be assigned, transferred, delegated, or sublicensed by any party without the prior written consent of the other parties hereto. Subject to the foregoing and except as otherwise provided herein, the provisions of this Agreement shall inure to the benefit of, and be binding upon, the successors, assigns, heirs, executors, and administrators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 binding upon the parties hereto, their respective successors and permitted assigns.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11.5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No provision of this Agreement may be amended other than by an instrument in writing signed by the Company and each Investor.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11.6 </w:t>
      </w:r>
      <w:r>
        <w:rPr>
          <w:rFonts w:ascii="Times New Roman;Times;Serif" w:hAnsi="Times New Roman;Times;Serif"/>
          <w:b w:val="false"/>
          <w:i w:val="false"/>
          <w:caps w:val="false"/>
          <w:smallCaps w:val="false"/>
          <w:sz w:val="20"/>
          <w:u w:val="single"/>
        </w:rPr>
        <w:t>Gender and Use of Singular and Plural</w:t>
      </w:r>
      <w:r>
        <w:rPr>
          <w:rFonts w:ascii="Times New Roman;Times;Serif" w:hAnsi="Times New Roman;Times;Serif"/>
          <w:b w:val="false"/>
          <w:i w:val="false"/>
          <w:caps w:val="false"/>
          <w:smallCaps w:val="false"/>
          <w:sz w:val="20"/>
        </w:rPr>
        <w:t>. All pronouns shall be deemed to refer to the masculine, feminine, neuter, singular, or plural, as the identity of the party or parties hereto or their personal representatives, successors, and assigns may require.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11.7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one or more counterparts, all of which taken together shall be deemed and considered one and the same Agreement, and same shall become effective when counterparts have been signed by each party hereto and each party has delivered its signed counterpart to the other party. A digital reproduction, portable document format (“.pdf”) or other reproduction of this Agreement may be executed by one or more parties and delivered by such party by electronic signature (including signature via DocuSign or similar services), electronic mail, or any similar electronic transmission device pursuant to which the signature of or on behalf of such party can be seen. Such execution and delivery shall be considered valid, binding, and effective for all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bdr w:val="single" w:sz="12" w:space="1" w:color="000000"/>
        </w:rPr>
      </w:pPr>
      <w:r>
        <w:rPr>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11.8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article and section headings contained in this Agreement are inserted for convenience only and shall not affect in any way the meaning or interpretation of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and enforced in accordance with, and all questions concerning the construction, validity, interpretation, and performance of this Agreement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waives personal service of process and consents to process being served in any such suit, action, or proceeding by mailing a copy thereof to the Company at the address set forth on the signature page to this Agreement and agrees that such service shall constitute good and sufficient service of process and notice thereof.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Each Investor hereby irrevocably submits to the exclusive jurisdiction of such courts and irrevocably waives any such objection. Nothing contained herein shall be deemed to limit in any way any right to serve process in any manner permitted by law. Nothing contained herein shall be deemed or operate to preclude any party from bringing suit or taking other legal action against any other party in any other jurisdiction to collect on such other party’s obligations, to realize on any collateral or any other security for such obligations, or to enforce a judgment or other court ruling in favor of such party. THE COMPANY AND EACH INVESTOR HEREBY IRREVOCABLY WAIVE ANY RIGHT THEY MAY HAVE TO, AND AGREE NOT TO REQUEST, A JURY TRIAL FOR THE ADJUDICATION OF ANY DISPUTE HEREUNDER OR IN CONNECTION WITH OR ARISING OUT OF THIS AGREEMENT OR ANY TRANSACTION CONTEMPLATED HEREBY.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11.10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The parties hereto will execute and deliver such further instruments and do such further acts and things as may be reasonably required to carry out the intent and purposes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11.11 </w:t>
      </w:r>
      <w:r>
        <w:rPr>
          <w:rFonts w:ascii="Times New Roman;Times;Serif" w:hAnsi="Times New Roman;Times;Serif"/>
          <w:b w:val="false"/>
          <w:i w:val="false"/>
          <w:caps w:val="false"/>
          <w:smallCaps w:val="false"/>
          <w:sz w:val="20"/>
          <w:u w:val="single"/>
        </w:rPr>
        <w:t>Joint Preparation</w:t>
      </w:r>
      <w:r>
        <w:rPr>
          <w:rFonts w:ascii="Times New Roman;Times;Serif" w:hAnsi="Times New Roman;Times;Serif"/>
          <w:b w:val="false"/>
          <w:i w:val="false"/>
          <w:caps w:val="false"/>
          <w:smallCaps w:val="false"/>
          <w:sz w:val="20"/>
        </w:rPr>
        <w:t>. The preparation of this Agreement has been a joint effort of the parties hereto and the resulting documents shall not, solely as a matter of judicial construction, be construed more severely against one of the parties than the other.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one of the provisions contained in this Agreement, for any reason, shall be held invalid, illegal, or unenforceable in any respect, such invalidity, illegality, or unenforceability shall not affect any other provision of this Agreement, and this Agreement shall remain in full force and effect and be construed as if the invalid, illegal or unenforceable provision had never been contained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11.13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parties hereto and their respective permitted successors and assigns, and is not for the benefit of, nor may any provision hereof be enforced by,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the Investor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 Company Signature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Securities Purchase Agreement to be duly executed by its authorized signatory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75"/>
        <w:gridCol w:w="545"/>
        <w:gridCol w:w="3140"/>
      </w:tblGrid>
      <w:tr>
        <w:trPr/>
        <w:tc>
          <w:tcPr>
            <w:tcW w:w="75" w:type="dxa"/>
            <w:tcBorders/>
            <w:vAlign w:val="center"/>
          </w:tcPr>
          <w:p>
            <w:pPr>
              <w:pStyle w:val="TableContents"/>
              <w:bidi w:val="0"/>
              <w:spacing w:before="0" w:after="283"/>
              <w:jc w:val="left"/>
              <w:rPr/>
            </w:pPr>
            <w:r>
              <w:rPr/>
              <w:t> </w:t>
            </w:r>
          </w:p>
        </w:tc>
        <w:tc>
          <w:tcPr>
            <w:tcW w:w="3685" w:type="dxa"/>
            <w:gridSpan w:val="2"/>
            <w:tcBorders/>
            <w:vAlign w:val="center"/>
          </w:tcPr>
          <w:p>
            <w:pPr>
              <w:pStyle w:val="TableContents"/>
              <w:bidi w:val="0"/>
              <w:spacing w:before="0" w:after="283"/>
              <w:jc w:val="left"/>
              <w:rPr>
                <w:b/>
                <w:sz w:val="20"/>
              </w:rPr>
            </w:pPr>
            <w:r>
              <w:rPr>
                <w:b/>
                <w:sz w:val="20"/>
              </w:rPr>
              <w:t>Trident Digital Tech Holdings Ltd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314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3140" w:type="dxa"/>
            <w:tcBorders/>
            <w:vAlign w:val="center"/>
          </w:tcPr>
          <w:p>
            <w:pPr>
              <w:pStyle w:val="TableContents"/>
              <w:bidi w:val="0"/>
              <w:spacing w:before="0" w:after="283"/>
              <w:jc w:val="left"/>
              <w:rPr>
                <w:sz w:val="20"/>
              </w:rPr>
            </w:pPr>
            <w:r>
              <w:rPr>
                <w:sz w:val="20"/>
              </w:rPr>
              <w:t>Soon Huat Lim</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3140" w:type="dxa"/>
            <w:tcBorders/>
            <w:vAlign w:val="center"/>
          </w:tcPr>
          <w:p>
            <w:pPr>
              <w:pStyle w:val="TableContents"/>
              <w:bidi w:val="0"/>
              <w:spacing w:before="0" w:after="283"/>
              <w:jc w:val="left"/>
              <w:rPr>
                <w:sz w:val="20"/>
              </w:rPr>
            </w:pPr>
            <w:r>
              <w:rPr>
                <w:sz w:val="20"/>
              </w:rPr>
              <w:t>Chairman and 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 – Investor Signature Page]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Securities Purchase Agreement to be duly executed by its authorized signatory as of the date first indicated above.</w:t>
      </w:r>
    </w:p>
    <w:p>
      <w:pPr>
        <w:pStyle w:val="TextBody"/>
        <w:bidi w:val="0"/>
        <w:spacing w:before="0" w:after="0"/>
        <w:ind w:left="0" w:right="0" w:hanging="0"/>
        <w:jc w:val="left"/>
        <w:rPr>
          <w:caps w:val="false"/>
          <w:smallCaps w:val="false"/>
        </w:rPr>
      </w:pPr>
      <w:r>
        <w:rPr>
          <w:caps w:val="false"/>
          <w:smallCaps w:val="false"/>
        </w:rPr>
        <w:t> </w:t>
      </w:r>
    </w:p>
    <w:tbl>
      <w:tblPr>
        <w:tblW w:w="7340" w:type="dxa"/>
        <w:jc w:val="left"/>
        <w:tblInd w:w="0" w:type="dxa"/>
        <w:tblLayout w:type="fixed"/>
        <w:tblCellMar>
          <w:top w:w="0" w:type="dxa"/>
          <w:left w:w="0" w:type="dxa"/>
          <w:bottom w:w="0" w:type="dxa"/>
          <w:right w:w="0" w:type="dxa"/>
        </w:tblCellMar>
      </w:tblPr>
      <w:tblGrid>
        <w:gridCol w:w="7340"/>
      </w:tblGrid>
      <w:tr>
        <w:trPr/>
        <w:tc>
          <w:tcPr>
            <w:tcW w:w="7340" w:type="dxa"/>
            <w:tcBorders/>
            <w:vAlign w:val="center"/>
          </w:tcPr>
          <w:p>
            <w:pPr>
              <w:pStyle w:val="TableContents"/>
              <w:bidi w:val="0"/>
              <w:spacing w:before="0" w:after="283"/>
              <w:jc w:val="left"/>
              <w:rPr/>
            </w:pPr>
            <w:r>
              <w:rPr/>
              <w:t>Name of Investor:</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Signature of Authorized Signatory of Investor:</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Name of Authorized Signatory:</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Title of Authorized Signatory:</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Email Address of Authorized Signatory:</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Address for Notice to Investor:</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Address for Delivery of Shares to Investor (if not same as address for notice):</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Investment Amount:</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Number of Shares:</w:t>
            </w:r>
          </w:p>
        </w:tc>
      </w:tr>
      <w:tr>
        <w:trPr/>
        <w:tc>
          <w:tcPr>
            <w:tcW w:w="7340" w:type="dxa"/>
            <w:tcBorders/>
            <w:vAlign w:val="center"/>
          </w:tcPr>
          <w:p>
            <w:pPr>
              <w:pStyle w:val="TableContents"/>
              <w:bidi w:val="0"/>
              <w:spacing w:before="0" w:after="283"/>
              <w:jc w:val="left"/>
              <w:rPr/>
            </w:pPr>
            <w:r>
              <w:rPr/>
              <w:t> </w:t>
            </w:r>
          </w:p>
        </w:tc>
      </w:tr>
      <w:tr>
        <w:trPr/>
        <w:tc>
          <w:tcPr>
            <w:tcW w:w="7340" w:type="dxa"/>
            <w:tcBorders/>
            <w:vAlign w:val="center"/>
          </w:tcPr>
          <w:p>
            <w:pPr>
              <w:pStyle w:val="TableContents"/>
              <w:bidi w:val="0"/>
              <w:spacing w:before="0" w:after="283"/>
              <w:jc w:val="left"/>
              <w:rPr/>
            </w:pPr>
            <w:r>
              <w:rPr/>
              <w:t xml:space="preserve">Form of Payment: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17</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83550/000121390026087769/ea0301320-f3_trident.htm" TargetMode="External"/><Relationship Id="rId3" Type="http://schemas.openxmlformats.org/officeDocument/2006/relationships/hyperlink" Target="http://www.sec.gov/Archives/edgar/data/1983550/000121390026087769/ea0301320-f3_trident.htm" TargetMode="External"/><Relationship Id="rId4" Type="http://schemas.openxmlformats.org/officeDocument/2006/relationships/hyperlink" Target="https://www.sec.gov/Archives/edgar/data/1983550/000121390026015844/ea0276321-s8_trident.htm" TargetMode="External"/><Relationship Id="rId5" Type="http://schemas.openxmlformats.org/officeDocument/2006/relationships/hyperlink" Target="https://www.sec.gov/Archives/edgar/data/1983550/000121390025000498/ea0226555-s8_trident.htm" TargetMode="External"/><Relationship Id="rId6" Type="http://schemas.openxmlformats.org/officeDocument/2006/relationships/hyperlink" Target="https://www.sec.gov/Archives/edgar/data/1983550/000121390026003104/ea0272374-s8_trident.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12227</Words>
  <Characters>65849</Characters>
  <CharactersWithSpaces>78074</CharactersWithSpaces>
  <Paragraphs>665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